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0EC8C4CA" w:rsidR="000B1BC5" w:rsidRPr="00662F4F" w:rsidRDefault="002F557F" w:rsidP="002F557F">
      <w:pPr>
        <w:tabs>
          <w:tab w:val="left" w:pos="6631"/>
        </w:tabs>
        <w:spacing w:after="0" w:line="259"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40.02.04 «Юриспруденция» (з</w:t>
      </w:r>
      <w:r w:rsidRPr="002F557F">
        <w:rPr>
          <w:rFonts w:ascii="Times New Roman" w:eastAsia="Times New Roman" w:hAnsi="Times New Roman" w:cs="Times New Roman"/>
          <w:b/>
          <w:sz w:val="28"/>
          <w:szCs w:val="28"/>
          <w:lang w:eastAsia="en-US"/>
        </w:rPr>
        <w:t>аочная форма обучения</w:t>
      </w:r>
      <w:r>
        <w:rPr>
          <w:rFonts w:ascii="Times New Roman" w:eastAsia="Times New Roman" w:hAnsi="Times New Roman" w:cs="Times New Roman"/>
          <w:b/>
          <w:sz w:val="28"/>
          <w:szCs w:val="28"/>
          <w:lang w:eastAsia="en-US"/>
        </w:rPr>
        <w:t>)</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51AF8"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30E56828" w:rsidR="00B267B6" w:rsidRDefault="002F557F" w:rsidP="002F557F">
      <w:pPr>
        <w:tabs>
          <w:tab w:val="left" w:pos="6631"/>
        </w:tabs>
        <w:spacing w:after="0" w:line="259"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40.02.04 «Юриспруденция» (з</w:t>
      </w:r>
      <w:r w:rsidRPr="002F557F">
        <w:rPr>
          <w:rFonts w:ascii="Times New Roman" w:eastAsia="Times New Roman" w:hAnsi="Times New Roman" w:cs="Times New Roman"/>
          <w:sz w:val="28"/>
          <w:szCs w:val="28"/>
          <w:lang w:eastAsia="en-US"/>
        </w:rPr>
        <w:t>аочная форма обучения</w:t>
      </w:r>
      <w:r>
        <w:rPr>
          <w:rFonts w:ascii="Times New Roman" w:eastAsia="Times New Roman" w:hAnsi="Times New Roman" w:cs="Times New Roman"/>
          <w:sz w:val="28"/>
          <w:szCs w:val="28"/>
          <w:lang w:eastAsia="en-US"/>
        </w:rPr>
        <w:t>)</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3680DAA9"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218A1">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1218A1">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218A1">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68DE2FC4"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w:t>
      </w:r>
      <w:r w:rsidR="001324AF">
        <w:rPr>
          <w:rFonts w:ascii="Times New Roman" w:eastAsia="Times New Roman" w:hAnsi="Times New Roman" w:cs="Times New Roman"/>
          <w:kern w:val="32"/>
          <w:sz w:val="28"/>
          <w:szCs w:val="28"/>
        </w:rPr>
        <w:t xml:space="preserve">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3E038E70" w:rsidR="00F55FEE" w:rsidRPr="007051F9" w:rsidRDefault="002F1CFC"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sidRPr="002F1CFC">
        <w:t xml:space="preserve"> </w:t>
      </w:r>
      <w:r w:rsidRPr="002F1CFC">
        <w:rPr>
          <w:rFonts w:ascii="Times New Roman" w:eastAsia="Times New Roman" w:hAnsi="Times New Roman" w:cs="Times New Roman"/>
          <w:kern w:val="32"/>
          <w:sz w:val="28"/>
          <w:szCs w:val="28"/>
        </w:rPr>
        <w:t>40.02.04 «Юриспруденция» (заочная форма обучения)</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bookmarkStart w:id="2" w:name="_GoBack"/>
      <w:bookmarkEnd w:id="2"/>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40"/>
      <w:bookmarkStart w:id="13" w:name="l323"/>
      <w:bookmarkEnd w:id="11"/>
      <w:bookmarkEnd w:id="12"/>
      <w:bookmarkEnd w:id="13"/>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2E8AF" w14:textId="77777777" w:rsidR="00486EE4" w:rsidRDefault="00486EE4" w:rsidP="00A56A34">
      <w:pPr>
        <w:spacing w:after="0" w:line="240" w:lineRule="auto"/>
      </w:pPr>
      <w:r>
        <w:separator/>
      </w:r>
    </w:p>
  </w:endnote>
  <w:endnote w:type="continuationSeparator" w:id="0">
    <w:p w14:paraId="7DC4ECAC" w14:textId="77777777" w:rsidR="00486EE4" w:rsidRDefault="00486EE4"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5B84114D" w:rsidR="00E90767" w:rsidRDefault="00E90767">
        <w:pPr>
          <w:pStyle w:val="af5"/>
          <w:jc w:val="center"/>
        </w:pPr>
        <w:r>
          <w:fldChar w:fldCharType="begin"/>
        </w:r>
        <w:r>
          <w:instrText>PAGE   \* MERGEFORMAT</w:instrText>
        </w:r>
        <w:r>
          <w:fldChar w:fldCharType="separate"/>
        </w:r>
        <w:r w:rsidR="002F1CFC">
          <w:rPr>
            <w:noProof/>
          </w:rPr>
          <w:t>4</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5C35EDB2" w:rsidR="00E90767" w:rsidRDefault="00E90767">
        <w:pPr>
          <w:pStyle w:val="af5"/>
          <w:jc w:val="center"/>
        </w:pPr>
        <w:r>
          <w:fldChar w:fldCharType="begin"/>
        </w:r>
        <w:r>
          <w:instrText>PAGE   \* MERGEFORMAT</w:instrText>
        </w:r>
        <w:r>
          <w:fldChar w:fldCharType="separate"/>
        </w:r>
        <w:r w:rsidR="002F557F">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EDBD" w14:textId="77777777" w:rsidR="00486EE4" w:rsidRDefault="00486EE4" w:rsidP="00A56A34">
      <w:pPr>
        <w:spacing w:after="0" w:line="240" w:lineRule="auto"/>
      </w:pPr>
      <w:r>
        <w:separator/>
      </w:r>
    </w:p>
  </w:footnote>
  <w:footnote w:type="continuationSeparator" w:id="0">
    <w:p w14:paraId="2DA305CB" w14:textId="77777777" w:rsidR="00486EE4" w:rsidRDefault="00486EE4"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8A1"/>
    <w:rsid w:val="00121A74"/>
    <w:rsid w:val="00122A8E"/>
    <w:rsid w:val="00127574"/>
    <w:rsid w:val="0013208D"/>
    <w:rsid w:val="001324AF"/>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1CFC"/>
    <w:rsid w:val="002F3807"/>
    <w:rsid w:val="002F3A34"/>
    <w:rsid w:val="002F557F"/>
    <w:rsid w:val="002F6C42"/>
    <w:rsid w:val="002F6F9F"/>
    <w:rsid w:val="003004B1"/>
    <w:rsid w:val="00301792"/>
    <w:rsid w:val="00303604"/>
    <w:rsid w:val="00304F3F"/>
    <w:rsid w:val="00316616"/>
    <w:rsid w:val="0032148D"/>
    <w:rsid w:val="00322760"/>
    <w:rsid w:val="00330BD0"/>
    <w:rsid w:val="003312BF"/>
    <w:rsid w:val="00341D30"/>
    <w:rsid w:val="00344C33"/>
    <w:rsid w:val="0034530B"/>
    <w:rsid w:val="00346C3A"/>
    <w:rsid w:val="0035415E"/>
    <w:rsid w:val="0035469A"/>
    <w:rsid w:val="00356ACB"/>
    <w:rsid w:val="00360D25"/>
    <w:rsid w:val="00365F39"/>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6600A"/>
    <w:rsid w:val="00470A36"/>
    <w:rsid w:val="0047149D"/>
    <w:rsid w:val="00474F39"/>
    <w:rsid w:val="0048144C"/>
    <w:rsid w:val="00485C44"/>
    <w:rsid w:val="00486EE4"/>
    <w:rsid w:val="004873ED"/>
    <w:rsid w:val="00491300"/>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57ADC"/>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2F4F"/>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35AE9"/>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6058"/>
    <w:rsid w:val="00937831"/>
    <w:rsid w:val="00945AB4"/>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12AF"/>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1ABD"/>
    <w:rsid w:val="00DA27CF"/>
    <w:rsid w:val="00DA3461"/>
    <w:rsid w:val="00DB16E8"/>
    <w:rsid w:val="00DB2BE2"/>
    <w:rsid w:val="00DB53D5"/>
    <w:rsid w:val="00DB5721"/>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52</Pages>
  <Words>14410</Words>
  <Characters>82142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558</cp:revision>
  <dcterms:created xsi:type="dcterms:W3CDTF">2025-11-17T09:51:00Z</dcterms:created>
  <dcterms:modified xsi:type="dcterms:W3CDTF">2026-04-19T12:49:00Z</dcterms:modified>
</cp:coreProperties>
</file>