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  <w:t xml:space="preserve">Частное образовательное учреждение </w:t>
      </w: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  <w:t>профессионального образования</w:t>
      </w: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  <w:t xml:space="preserve"> «Ставропольский многопрофильный колледж»</w:t>
      </w: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212"/>
      </w:tblGrid>
      <w:tr>
        <w:tc>
          <w:tcPr>
            <w:tcW w:w="482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Times New Roman" w:hAnsi="Times New Roman"/>
                <w:kern w:val="0"/>
                <w:szCs w:val="28"/>
              </w:rPr>
            </w:pPr>
          </w:p>
        </w:tc>
        <w:tc>
          <w:tcPr>
            <w:tcW w:w="4212" w:type="dxa"/>
          </w:tcPr>
          <w:p>
            <w:pPr>
              <w:spacing w:after="0" w:line="240" w:lineRule="auto"/>
              <w:rPr>
                <w:rFonts w:ascii="Times New Roman" w:eastAsia="Calibri" w:cs="Times New Roman" w:hAnsi="Times New Roman"/>
                <w:kern w:val="0"/>
                <w:sz w:val="24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spacing w:after="0" w:line="240" w:lineRule="auto"/>
        <w:rPr>
          <w:rFonts w:ascii="Times New Roman" w:eastAsia="Times New Roman" w:cs="Times New Roman" w:hAnsi="Times New Roman"/>
          <w:kern w:val="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kern w:val="0"/>
          <w:sz w:val="36"/>
          <w:szCs w:val="28"/>
        </w:rPr>
        <w:t>МЕТОДИЧЕСКИЕ РЕКОМЕНДАЦИИ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kern w:val="0"/>
          <w:sz w:val="36"/>
          <w:szCs w:val="28"/>
        </w:rPr>
        <w:t xml:space="preserve">ПО ОРГАНИЗАЦИИ ПРАКТИЧЕСКОЙ РАБОТЕ СТУДЕНТОВ 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bCs/>
          <w:kern w:val="0"/>
          <w:sz w:val="36"/>
          <w:szCs w:val="28"/>
        </w:rPr>
        <w:t>«Санитарно-гигиеническая подготовка зоны обслуживания для предоставления косметических услуг»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kern w:val="0"/>
          <w:sz w:val="36"/>
          <w:szCs w:val="28"/>
        </w:rPr>
        <w:t>Специальность 43.02.17 Технологии индустрии красоты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28"/>
          <w:lang w:eastAsia="ru-RU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  <w:t>Ставрополь, 202</w:t>
      </w:r>
      <w:r>
        <w:rPr>
          <w:rFonts w:ascii="Times New Roman" w:eastAsia="Times New Roman" w:cs="Times New Roman" w:hAnsi="Times New Roman"/>
          <w:b/>
          <w:bCs/>
          <w:kern w:val="0"/>
          <w:sz w:val="28"/>
          <w:szCs w:val="28"/>
          <w:lang w:val="en-US"/>
        </w:rPr>
        <w:t>6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  <w:br w:type="page"/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eastAsia="Times New Roman" w:cs="Times New Roman" w:hAnsi="Times New Roman"/>
          <w:kern w:val="0"/>
          <w:sz w:val="17"/>
        </w:rPr>
        <w:sectPr>
          <w:pgSz w:w="12240" w:h="16840"/>
          <w:pgMar w:top="1134" w:right="616" w:bottom="1134" w:left="1418" w:header="720" w:footer="720" w:gutter="0"/>
          <w:docGrid w:linePitch="312" w:charSpace="0"/>
        </w:sectPr>
      </w:pPr>
    </w:p>
    <w:p>
      <w:pPr>
        <w:ind w:left="1068" w:hanging="360"/>
        <w:jc w:val="both"/>
      </w:pPr>
    </w:p>
    <w:p>
      <w:pPr>
        <w:pStyle w:val="18"/>
        <w:ind w:left="1068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ПРАКТИЧЕСКАЯ РАБОТА №1</w:t>
      </w:r>
    </w:p>
    <w:p>
      <w:pPr>
        <w:pStyle w:val="18"/>
        <w:ind w:left="1068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Опишите этапы развития микробиологии, составьте таблицу: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Эвристический ― Дж. Фракасторо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Описательный (микрографический) ― А. Левенгук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Физиологический ― Л. Пастер, Р. Кох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Иммунологический ― И.И. Мечников, П. Эрлих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Вирусологический ― Д.И. Ивановский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Современный (молекулярно-генетический).</w:t>
      </w:r>
    </w:p>
    <w:p>
      <w:pPr>
        <w:pStyle w:val="18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Перечислите достижения Л. Пастера</w:t>
      </w:r>
    </w:p>
    <w:p>
      <w:pPr>
        <w:pStyle w:val="18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Значение микробиологии и иммунологии в наше время</w:t>
      </w:r>
    </w:p>
    <w:p>
      <w:pPr>
        <w:sectPr>
          <w:pgSz w:w="11906" w:h="16838"/>
          <w:pgMar w:top="1134" w:right="850" w:bottom="1134" w:left="1701" w:header="708" w:footer="708" w:gutter="0"/>
          <w:docGrid w:linePitch="360" w:charSpace="0"/>
        </w:sectPr>
      </w:pP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ПРАКТИЧЕСКАЯ РАБОТА №</w:t>
      </w:r>
      <w:r>
        <w:rPr>
          <w:rStyle w:val="22"/>
          <w:rFonts w:eastAsia="宋体"/>
          <w:color w:val="000000"/>
          <w:lang w:val="en-US"/>
        </w:rPr>
        <w:t>2</w:t>
      </w:r>
    </w:p>
    <w:p>
      <w:pPr>
        <w:pStyle w:val="23"/>
        <w:shd w:val="clear" w:color="auto" w:fill="FFFFFF"/>
        <w:spacing w:after="0"/>
        <w:jc w:val="center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«Утилизация отходов использованных материалов и одноразового белья в с</w:t>
      </w:r>
      <w:r>
        <w:rPr>
          <w:rStyle w:val="22"/>
          <w:rFonts w:eastAsia="宋体"/>
          <w:color w:val="000000"/>
          <w:lang w:val="en-US"/>
        </w:rPr>
        <w:t>о</w:t>
      </w:r>
      <w:r>
        <w:rPr>
          <w:rStyle w:val="22"/>
          <w:rFonts w:eastAsia="宋体"/>
          <w:color w:val="000000"/>
        </w:rPr>
        <w:t>ответствии с</w:t>
      </w: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санитарными нормами»</w:t>
      </w: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</w:p>
    <w:p>
      <w:pPr>
        <w:pStyle w:val="2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Дайте развернутые ответы на вопросы: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Что такое отходы?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Как утилизировать одноразовое белье?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Правила сбора отходов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Безопасность мастера на рабочем месте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Этапы обращения с отходами</w:t>
      </w: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</w:p>
    <w:p>
      <w:pPr>
        <w:pStyle w:val="2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Заполните таблицу</w:t>
      </w:r>
    </w:p>
    <w:tbl>
      <w:tblPr>
        <w:jc w:val="lef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730"/>
        <w:gridCol w:w="2693"/>
        <w:gridCol w:w="3396"/>
      </w:tblGrid>
      <w:tr>
        <w:tc>
          <w:tcPr>
            <w:tcW w:w="409" w:type="dxa"/>
          </w:tcPr>
          <w:p>
            <w:pPr>
              <w:pStyle w:val="23"/>
              <w:spacing w:before="0" w:beforeAutospacing="0" w:after="0" w:afterAutospacing="0"/>
              <w:ind w:left="36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№</w:t>
            </w:r>
          </w:p>
        </w:tc>
        <w:tc>
          <w:tcPr>
            <w:tcW w:w="1730" w:type="dxa"/>
          </w:tcPr>
          <w:p>
            <w:pPr>
              <w:pStyle w:val="23"/>
              <w:spacing w:before="0" w:beforeAutospacing="0" w:after="0" w:afterAutospacing="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Класс отхода</w:t>
            </w:r>
          </w:p>
        </w:tc>
        <w:tc>
          <w:tcPr>
            <w:tcW w:w="2693" w:type="dxa"/>
          </w:tcPr>
          <w:p>
            <w:pPr>
              <w:pStyle w:val="23"/>
              <w:spacing w:before="0" w:beforeAutospacing="0" w:after="0" w:afterAutospacing="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Описание класса отхода</w:t>
            </w:r>
          </w:p>
        </w:tc>
        <w:tc>
          <w:tcPr>
            <w:tcW w:w="3396" w:type="dxa"/>
          </w:tcPr>
          <w:p>
            <w:pPr>
              <w:pStyle w:val="23"/>
              <w:spacing w:before="0" w:beforeAutospacing="0" w:after="0" w:afterAutospacing="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Характеристика упаковки хранения/утилизации</w:t>
            </w:r>
          </w:p>
        </w:tc>
      </w:tr>
    </w:tbl>
    <w:p>
      <w:pPr>
        <w:pStyle w:val="23"/>
        <w:shd w:val="clear" w:color="auto" w:fill="FFFFFF"/>
        <w:spacing w:before="0" w:beforeAutospacing="0" w:after="0" w:afterAutospacing="0"/>
        <w:ind w:left="720"/>
        <w:rPr>
          <w:rStyle w:val="22"/>
          <w:rFonts w:eastAsia="宋体"/>
          <w:color w:val="000000"/>
        </w:rPr>
      </w:pPr>
    </w:p>
    <w:p>
      <w:pPr>
        <w:pStyle w:val="2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Тестирование (переписать вопрос и только правильный вариант ответа)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2"/>
          <w:rFonts w:eastAsia="宋体"/>
          <w:color w:val="000000"/>
        </w:rPr>
        <w:t>Выберите один правильный ответ</w:t>
      </w:r>
    </w:p>
    <w:p>
      <w:pPr>
        <w:pStyle w:val="23"/>
        <w:numPr>
          <w:ilvl w:val="0"/>
          <w:numId w:val="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Сколько классов медицинских отходов?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4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5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6</w:t>
      </w:r>
    </w:p>
    <w:p>
      <w:pPr>
        <w:pStyle w:val="23"/>
        <w:numPr>
          <w:ilvl w:val="0"/>
          <w:numId w:val="7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Класс пищевых отходов инфекционных отделений?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эпидемиологически безопасные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эпидемиологически опасные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чрезвычайно эпидемиологически опасные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токсикологически опасные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3. Какой класс отходов подлежит предварительной физической дезинфекции?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А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Б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Г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4. Какой класс отходов имеет жёлтую маркировку?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А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Б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Д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5. Какие отходы собирают в тару красного цвета?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защитные колпачки от игл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остатки пищи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кровавые марлевые салфетки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непригодные дезинфицирующие средства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6. В течение какого времени можно хранить отходы (час.)?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не более 24  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36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не более 72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72 и более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7. Отходы класса А собирают?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мусоропровод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непрокалываемый контейнер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мешок жёлтого цвета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пакет красного цвета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8. Какой отход эпидемиологически опасный?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лекарственный препарат с истекшим сроком годности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кровавые ватные шарики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рентгеновская плёнка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ампула с цитостатиком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9. Объем для заполнения пакета с отходами?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1/2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2/3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1/4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3/4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10. При нарушении правил безопасности при обращении с отходами возможно развитие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сепсиса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ОРВИ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СПИДа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гепатита В</w:t>
      </w:r>
    </w:p>
    <w:p/>
    <w:p/>
    <w:p/>
    <w:p/>
    <w:p/>
    <w:p/>
    <w:p/>
    <w:p/>
    <w:p/>
    <w:p/>
    <w:p>
      <w:pPr>
        <w:spacing w:line="240" w:lineRule="auto"/>
        <w:ind w:left="644" w:firstLine="0"/>
        <w:jc w:val="center"/>
      </w:pPr>
      <w:r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  <w:t>Практическая работа №3</w:t>
      </w: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1. Нарисуйте строение эукариотической и прокариотической клетки. В чем их главное различие?</w:t>
      </w:r>
    </w:p>
    <w:p>
      <w:pPr>
        <w:spacing w:after="160" w:line="360" w:lineRule="auto"/>
        <w:jc w:val="both"/>
      </w:pPr>
      <w:r>
        <w:rPr>
          <w:rFonts w:ascii="Calibri" w:eastAsia="Calibri" w:cs="宋体" w:hAnsi="Calibri"/>
          <w:b w:val="0"/>
          <w:bCs w:val="0"/>
          <w:i w:val="0"/>
          <w:iCs w:val="0"/>
          <w:color w:val="auto"/>
          <w:kern w:val="2"/>
          <w:sz w:val="22"/>
          <w:szCs w:val="22"/>
          <w:vertAlign w:val="baseline"/>
          <w:em w:val="none"/>
          <w:lang w:val="ru-RU" w:eastAsia="en-US"/>
          <w:highlight w:val="auto"/>
        </w:rPr>
        <w:drawing>
          <wp:inline distT="0" distB="0" distL="0" distR="0">
            <wp:extent cx="2650490" cy="2234310"/>
            <wp:effectExtent l="0" t="0" r="0" b="0"/>
            <wp:docPr id="1" name="Изображения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Изображения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50490" cy="223431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cs="宋体" w:hAnsi="Calibri"/>
          <w:b w:val="0"/>
          <w:bCs w:val="0"/>
          <w:i w:val="0"/>
          <w:iCs w:val="0"/>
          <w:color w:val="auto"/>
          <w:kern w:val="2"/>
          <w:sz w:val="22"/>
          <w:szCs w:val="22"/>
          <w:vertAlign w:val="baseline"/>
          <w:em w:val="none"/>
          <w:lang w:val="en-US" w:eastAsia="en-US"/>
          <w:highlight w:val="auto"/>
        </w:rPr>
        <w:t xml:space="preserve">              </w:t>
      </w:r>
      <w:r>
        <w:rPr>
          <w:rFonts w:ascii="Calibri" w:eastAsia="Calibri" w:cs="宋体" w:hAnsi="Calibri"/>
          <w:b w:val="0"/>
          <w:bCs w:val="0"/>
          <w:i w:val="0"/>
          <w:iCs w:val="0"/>
          <w:color w:val="auto"/>
          <w:kern w:val="2"/>
          <w:sz w:val="22"/>
          <w:szCs w:val="22"/>
          <w:vertAlign w:val="baseline"/>
          <w:em w:val="none"/>
          <w:lang w:val="ru-RU" w:eastAsia="en-US"/>
          <w:highlight w:val="auto"/>
        </w:rPr>
        <w:drawing>
          <wp:inline distT="0" distB="0" distL="0" distR="0">
            <wp:extent cx="2315972" cy="1827528"/>
            <wp:effectExtent l="0" t="0" r="0" b="0"/>
            <wp:docPr id="4" name="Изображения 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Изображения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5972" cy="1827528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2. Определите типы взаимоотношений микроорганизмов, исходя из характеристики: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совместное существование двух или более видов микроорганизмов, при котором они не мешают друг другу в развитии - ...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тип взаимоотношений микроорганизмов, при котором продукты жизнедеятельности одного микроорганизма являются продуктами питания других - ...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форма симбиоза, при которой отношения между партнёрами характеризуются взаимовыгодностью и ни один из них не может существовать без другого - ...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тип взаимоотношений микроорганизмов, при котором один вид микроорганизма поселяется в клетке другого и питается за счёт хозяина - ...</w:t>
      </w:r>
    </w:p>
    <w:p>
      <w:pPr>
        <w:spacing w:after="160" w:line="360" w:lineRule="auto"/>
        <w:jc w:val="both"/>
      </w:pP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3</w:t>
      </w: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ru-RU" w:eastAsia="en-US"/>
          <w:highlight w:val="auto"/>
        </w:rPr>
        <w:t>. Заполните таблицу: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596"/>
        <w:gridCol w:w="3804"/>
        <w:gridCol w:w="2653"/>
      </w:tblGrid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left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center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Вид микроорганизмов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center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Характеристика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center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Пример</w:t>
            </w: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Бактерии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Грибы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Вирусы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Простейшие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</w:tbl>
    <w:p>
      <w:pPr>
        <w:spacing w:after="160" w:line="360" w:lineRule="auto"/>
        <w:ind w:firstLine="700"/>
        <w:jc w:val="both"/>
      </w:pP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4.</w:t>
      </w: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ru-RU" w:eastAsia="en-US"/>
          <w:highlight w:val="auto"/>
        </w:rPr>
        <w:t xml:space="preserve"> Какое влияние могут оказывать различные виды микроорганизмов на работу специалиста индустрии красоты? Приведите примеры. </w:t>
      </w:r>
    </w:p>
    <w:p>
      <w:pPr>
        <w:spacing w:after="160" w:line="360" w:lineRule="auto"/>
        <w:jc w:val="both"/>
      </w:pPr>
    </w:p>
    <w:p>
      <w:pPr>
        <w:sectPr>
          <w:pgSz w:w="11906" w:h="16838"/>
          <w:pgMar w:top="1134" w:right="850" w:bottom="1134" w:left="1701" w:header="708" w:footer="708" w:gutter="0"/>
          <w:pgNumType w:start="1"/>
          <w:docGrid w:linePitch="360" w:charSpace="0"/>
        </w:sectPr>
      </w:pPr>
    </w:p>
    <w:p>
      <w:pPr>
        <w:spacing w:line="257" w:lineRule="auto"/>
        <w:jc w:val="center"/>
        <w:rPr>
          <w:rFonts w:ascii="Times New Roman" w:eastAsia="Calibri" w:cs="Times New Roman" w:hAnsi="Times New Roman"/>
          <w:b/>
          <w:kern w:val="0"/>
          <w:sz w:val="28"/>
          <w:szCs w:val="28"/>
        </w:rPr>
      </w:pPr>
      <w:r>
        <w:rPr>
          <w:rFonts w:ascii="Times New Roman" w:eastAsia="Calibri" w:cs="Times New Roman" w:hAnsi="Times New Roman"/>
          <w:b/>
          <w:kern w:val="0"/>
          <w:sz w:val="28"/>
          <w:szCs w:val="28"/>
        </w:rPr>
        <w:t>Практическая работа №</w:t>
      </w:r>
      <w:r>
        <w:rPr>
          <w:rFonts w:ascii="Times New Roman" w:eastAsia="Calibri" w:cs="Times New Roman" w:hAnsi="Times New Roman"/>
          <w:b/>
          <w:kern w:val="0"/>
          <w:sz w:val="28"/>
          <w:szCs w:val="28"/>
          <w:lang w:val="en-US"/>
        </w:rPr>
        <w:t>4</w:t>
      </w:r>
    </w:p>
    <w:p>
      <w:pPr>
        <w:spacing w:after="0" w:line="240" w:lineRule="auto"/>
        <w:jc w:val="both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Задание №1. Нарисовать и дать название основным формам бактерий (подписать под рисунками).</w:t>
      </w:r>
    </w:p>
    <w:p>
      <w:pPr>
        <w:spacing w:after="20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20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drawing>
          <wp:inline distT="0" distB="0" distL="0" distR="0">
            <wp:extent cx="4236720" cy="5006340"/>
            <wp:effectExtent l="0" t="0" r="0" b="0"/>
            <wp:docPr id="7" name="Изображения 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Изображения 9"/>
                    <pic:cNvPicPr/>
                  </pic:nvPicPr>
                  <pic:blipFill>
                    <a:blip r:embed="rId4"/>
                    <a:srcRect b="79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36720" cy="50063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Задание №2. Заполните таблицу. Дать определение всем понятиям</w:t>
      </w:r>
    </w:p>
    <w:p>
      <w:pPr>
        <w:spacing w:after="200" w:line="276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200" w:line="276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drawing>
          <wp:inline distT="0" distB="0" distL="0" distR="0">
            <wp:extent cx="6225540" cy="1844040"/>
            <wp:effectExtent l="0" t="0" r="0" b="0"/>
            <wp:docPr id="10" name="Изображения 1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" name="Изображения 12"/>
                    <pic:cNvPicPr/>
                  </pic:nvPicPr>
                  <pic:blipFill>
                    <a:blip r:embed="rId5"/>
                    <a:srcRect b="286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5540" cy="18440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line="257" w:lineRule="auto"/>
        <w:rPr>
          <w:rFonts w:ascii="Calibri" w:eastAsia="Calibri" w:cs="Times New Roman" w:hAnsi="Calibri"/>
          <w:kern w:val="0"/>
        </w:rPr>
      </w:pPr>
    </w:p>
    <w:p>
      <w:pPr>
        <w:spacing w:line="257" w:lineRule="auto"/>
        <w:rPr>
          <w:rFonts w:ascii="Calibri" w:eastAsia="Calibri" w:cs="Times New Roman" w:hAnsi="Calibri"/>
          <w:kern w:val="0"/>
          <w:sz w:val="24"/>
          <w:szCs w:val="24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ru-RU"/>
        </w:rPr>
        <w:t>Задание 3. Дайте характеристику основным таксономическим категориям</w:t>
      </w:r>
    </w:p>
    <w:p>
      <w:pPr>
        <w:sectPr>
          <w:pgSz w:w="11906" w:h="16838"/>
          <w:pgMar w:top="567" w:right="424" w:bottom="426" w:left="993" w:header="708" w:footer="708" w:gutter="0"/>
          <w:pgNumType w:start="1"/>
          <w:docGrid w:linePitch="360" w:charSpace="0"/>
        </w:sectPr>
      </w:pPr>
    </w:p>
    <w:p>
      <w:pPr>
        <w:pStyle w:val="27"/>
        <w:shd w:val="clear" w:color="auto" w:fill="FFFFFF"/>
        <w:spacing w:before="0" w:beforeAutospacing="0" w:after="0" w:afterAutospacing="0"/>
        <w:ind w:right="58"/>
        <w:jc w:val="center"/>
        <w:rPr>
          <w:rStyle w:val="26"/>
          <w:rFonts w:eastAsia="宋体"/>
          <w:b/>
          <w:bCs/>
          <w:color w:val="000000"/>
        </w:rPr>
      </w:pPr>
      <w:r>
        <w:rPr>
          <w:rStyle w:val="26"/>
          <w:rFonts w:eastAsia="宋体"/>
          <w:b/>
          <w:bCs/>
          <w:color w:val="000000"/>
        </w:rPr>
        <w:t>Практическая работа №</w:t>
      </w:r>
      <w:r>
        <w:rPr>
          <w:rStyle w:val="26"/>
          <w:rFonts w:eastAsia="宋体"/>
          <w:b/>
          <w:bCs/>
          <w:color w:val="000000"/>
          <w:lang w:val="en-US"/>
        </w:rPr>
        <w:t>5</w:t>
      </w:r>
    </w:p>
    <w:p>
      <w:pPr>
        <w:pStyle w:val="27"/>
        <w:shd w:val="clear" w:color="auto" w:fill="FFFFFF"/>
        <w:spacing w:before="0" w:beforeAutospacing="0" w:after="0" w:afterAutospacing="0"/>
        <w:ind w:right="58"/>
        <w:jc w:val="center"/>
        <w:rPr>
          <w:rStyle w:val="26"/>
          <w:rFonts w:eastAsia="宋体"/>
          <w:b/>
          <w:bCs/>
          <w:color w:val="000000"/>
        </w:rPr>
      </w:pPr>
    </w:p>
    <w:p>
      <w:pPr>
        <w:pStyle w:val="2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28"/>
          <w:rFonts w:eastAsia="宋体"/>
          <w:color w:val="000000"/>
        </w:rPr>
        <w:t>Тесты. Выберите один правильный ответ.</w:t>
      </w:r>
    </w:p>
    <w:p>
      <w:pPr>
        <w:pStyle w:val="2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1. В основе деления микроорганизмов на группы лежит: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морфология клеток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различные типы их деления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расположение в мазке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все ответы верны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 xml:space="preserve"> 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2.Гонококки – это шаровидные бактерии, в мазках выглядят как: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вибрионы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микрококки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диплококки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сарцины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3. Актиномицеты характеризуются следующими свойствами: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имеют вид тонких нитей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в основном обитают в почве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на концах клеток образуют споры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все ответы верны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4. Вибрионы – это: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извитые палочки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изогнутые палочки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тетракокки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микрококки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5. К спорообразованию способны: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стафилококки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бациллы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стрептококки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кишечная палочка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6. Хранителем наследственной информации у бактерий является: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спора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цитоплазма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капсула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нуклеоид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7. Эти микроорганизмы являются внутриклеточными паразитами: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хламидии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сарцины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стрептококки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клостридии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8. Флагеллин – это белок, входящий в состав: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оболочки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капсулы        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жгутиков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цитоплазмы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shd w:val="clear" w:color="auto" w:fill="FFFFFF"/>
        <w:spacing w:after="0" w:line="240" w:lineRule="auto"/>
        <w:ind w:firstLine="708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2. Задание</w:t>
      </w:r>
      <w:r>
        <w:rPr>
          <w:rFonts w:ascii="Times New Roman" w:eastAsia="Times New Roman" w:cs="Times New Roman" w:hAnsi="Times New Roman"/>
          <w:b/>
          <w:bCs/>
          <w:color w:val="000000"/>
          <w:kern w:val="0"/>
          <w:sz w:val="28"/>
          <w:szCs w:val="28"/>
          <w:lang w:eastAsia="ru-RU"/>
        </w:rPr>
        <w:t>:</w:t>
      </w: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 в тетради письменно ответить на вопросы:</w:t>
      </w:r>
    </w:p>
    <w:p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Основное различие между грамм положительными и грамм отрицательными бактериями?</w:t>
      </w:r>
    </w:p>
    <w:p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Основные принципы классификации бактерий</w:t>
      </w:r>
    </w:p>
    <w:p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Особенности актиномицетов, микоплазм, риккетсий, спирохет и хламидий.</w:t>
      </w:r>
    </w:p>
    <w:p>
      <w:pPr>
        <w:sectPr>
          <w:pgSz w:w="11906" w:h="16838"/>
          <w:pgMar w:top="1134" w:right="850" w:bottom="709" w:left="1701" w:header="708" w:footer="708" w:gutter="0"/>
          <w:pgNumType w:start="1"/>
          <w:docGrid w:linePitch="360" w:charSpace="0"/>
        </w:sectPr>
      </w:pPr>
    </w:p>
    <w:p>
      <w:pPr>
        <w:ind w:left="720" w:hanging="36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6</w:t>
      </w:r>
    </w:p>
    <w:p>
      <w:pPr>
        <w:pStyle w:val="18"/>
        <w:numPr>
          <w:ilvl w:val="0"/>
          <w:numId w:val="2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Дайте ответы на теоретические вопросы</w:t>
      </w:r>
    </w:p>
    <w:p>
      <w:pPr>
        <w:pStyle w:val="18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Перечислите и охарактеризуйте виды рубцов</w:t>
      </w:r>
    </w:p>
    <w:p>
      <w:pPr>
        <w:pStyle w:val="18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Перечислите методы диагностики дерматологических заболеваний</w:t>
      </w:r>
    </w:p>
    <w:p>
      <w:pPr>
        <w:pStyle w:val="18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Дайте характеристику вирусным заболеваниям кожи</w:t>
      </w:r>
    </w:p>
    <w:p>
      <w:pPr>
        <w:pStyle w:val="18"/>
        <w:ind w:left="64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Тестирование (задания переписываем в тетрадь). Выбрать 1 правильный ответ. </w:t>
      </w: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 стрептодермиям относятся: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Заеда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Вульгарная эктима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 Буллезное импетиго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д.) Фурункул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механизмам развития аллергический контактный дерматит представляет собой: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Гиперчувствительность немедленного типа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 Атопию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 Феномен Артюса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 Гипречувствительность замедленного типа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Вторичный морфологический элемент: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волдырь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эрозия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 петехии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 пурпура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7. Первичный морфологический элемент: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рубец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трещина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 гнойничок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 ссадина</w:t>
      </w:r>
    </w:p>
    <w:p>
      <w:pPr>
        <w:pStyle w:val="31"/>
        <w:rPr>
          <w:rFonts w:ascii="Times New Roman" w:cs="Times New Roman" w:hAnsi="Times New Roman"/>
          <w:sz w:val="28"/>
          <w:szCs w:val="28"/>
        </w:rPr>
      </w:pPr>
      <w:r>
        <w:tab/>
      </w:r>
      <w:r>
        <w:rPr>
          <w:rFonts w:ascii="Times New Roman" w:cs="Times New Roman" w:hAnsi="Times New Roman"/>
          <w:sz w:val="28"/>
          <w:szCs w:val="28"/>
        </w:rPr>
        <w:t xml:space="preserve">5. Между эпидермисом и собственно кожей располагается: </w:t>
        <w:tab/>
        <w:tab/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Сосочковый слой 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Основная мембрана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в) Удерживатели кожи 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 Гребешки кожи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numPr>
          <w:ilvl w:val="0"/>
          <w:numId w:val="20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Придумайте и нарисуйте 5 ребусов (5 слов) на определение дерматологических заболеваний. Возможно использование сайта</w:t>
      </w:r>
      <w:r>
        <w:t xml:space="preserve"> </w:t>
      </w:r>
      <w:r>
        <w:rPr>
          <w:rStyle w:val="32"/>
          <w:rFonts w:ascii="Times New Roman" w:cs="Times New Roman" w:hAnsi="Times New Roman"/>
          <w:sz w:val="28"/>
          <w:szCs w:val="28"/>
        </w:rPr>
        <w:fldChar w:fldCharType="begin"/>
      </w:r>
      <w:r>
        <w:instrText>HYPERLINK "https://kvestodel.ru/generator-rebusov"</w:instrText>
      </w:r>
      <w:r>
        <w:rPr>
          <w:rStyle w:val="32"/>
          <w:rFonts w:ascii="Times New Roman" w:cs="Times New Roman" w:hAnsi="Times New Roman"/>
          <w:sz w:val="28"/>
          <w:szCs w:val="28"/>
        </w:rPr>
        <w:fldChar w:fldCharType="separate"/>
      </w:r>
      <w:r>
        <w:rPr>
          <w:rStyle w:val="32"/>
          <w:rFonts w:ascii="Times New Roman" w:cs="Times New Roman" w:hAnsi="Times New Roman"/>
          <w:sz w:val="28"/>
          <w:szCs w:val="28"/>
        </w:rPr>
        <w:t>https://kvestodel.ru/generator-rebusov</w:t>
      </w:r>
      <w:r>
        <w:rPr>
          <w:rStyle w:val="32"/>
          <w:rFonts w:ascii="Times New Roman" w:cs="Times New Roman" w:hAnsi="Times New Roman"/>
          <w:sz w:val="28"/>
          <w:szCs w:val="28"/>
        </w:rPr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31"/>
        <w:numPr>
          <w:ilvl w:val="0"/>
          <w:numId w:val="20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Ситуационные задачи (задачу переписываем в тетрадь)</w:t>
      </w:r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прием к врачу обратилась пациентка 38 лет с жалобами на болезненное уплотнение красного цвета над верхней губой слева. Беспокоит озноб и чувство недомогания. Больна 3 дня. Начало заболевания связывает с тем, что пыталась выдавить угревой элемент над губой. На этом месте образовалось болезненное уплотнение, которое быстро увеличилось в размере, кожа над ним покраснела. Температура тела поднялась до 37,5˚С, появились головная боль, общее недомогание.</w:t>
      </w: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bookmarkStart w:id="1" w:name="_Hlk194482231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  <w:bookmarkEnd w:id="1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 мужчины после ремонта машины на кистях появились гиперемия, мокнутие, трещины. Ранее кожных заболеваний не было.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Start w:id="2" w:name="_Hlk194482283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End w:id="2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профосмотре у рабочей-аппаратчицы завода цветных металлов,  на руках выявлены эритема, везикулы, мокнутие. За медицинской помощью не обращалась, лечилась самостоятельно. Работает на заводе 4 месяца, больна 1 месяц. Ранее кожных заболеваний не было.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Start w:id="3" w:name="_Hlk194482339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End w:id="3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 пациентки после процедуры наращивания ногтей появились покраснение, везикуляция, легкая отечность в области концевых фаланг. В раннем детстве до 3 лет отмечались высыпания в области щек, в дальнейшем периодически – в области локтевых сгибов.</w:t>
      </w: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bookmarkStart w:id="4" w:name="_Hlk194482382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bookmarkEnd w:id="4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Пациентка 20 лет жалуется на высыпания на кистях в течение 2-х лет. Работает санитаркой в больнице. Ранее кожных заболеваний не было. При осмотре в области кистей на фоне эритемы везикуляция, трещинки.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numPr>
          <w:ilvl w:val="0"/>
          <w:numId w:val="20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Согласно методам диагностики дерматологических заболеваний соберите анамнез данных заболеваний: герпес простой, бородавки, себорейная экзема и келоидные рубцы (описать первый и второй этап).</w:t>
      </w:r>
    </w:p>
    <w:p>
      <w:pPr>
        <w:pStyle w:val="31"/>
        <w:ind w:left="644" w:firstLine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644" w:firstLine="0"/>
        <w:jc w:val="center"/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</w:pPr>
    </w:p>
    <w:p>
      <w:pPr>
        <w:pStyle w:val="31"/>
        <w:ind w:left="644" w:firstLine="0"/>
        <w:jc w:val="center"/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</w:pPr>
    </w:p>
    <w:p>
      <w:pPr>
        <w:pStyle w:val="31"/>
        <w:ind w:left="644" w:firstLine="0"/>
        <w:jc w:val="center"/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</w:pPr>
    </w:p>
    <w:p>
      <w:pPr>
        <w:pStyle w:val="31"/>
        <w:ind w:left="644" w:firstLine="0"/>
        <w:jc w:val="center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000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Droid Sans"/>
    <w:panose1 w:val="050201020100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000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000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F2AC78B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multiLevelType w:val="hybridMultilevel"/>
    <w:tmpl w:val="F45C3502"/>
    <w:lvl w:ilvl="0">
      <w:start w:val="1"/>
      <w:numFmt w:val="bullet"/>
      <w:lvlRestart w:val="0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hint="default"/>
      </w:rPr>
    </w:lvl>
  </w:abstractNum>
  <w:abstractNum w:abstractNumId="2">
    <w:multiLevelType w:val="hybridMultilevel"/>
    <w:tmpl w:val="6A46837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multiLevelType w:val="hybridMultilevel"/>
    <w:tmpl w:val="E3886C8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multiLevelType w:val="multilevel"/>
    <w:tmpl w:val="087007E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>
    <w:multiLevelType w:val="multilevel"/>
    <w:tmpl w:val="FA64766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>
    <w:multiLevelType w:val="multilevel"/>
    <w:tmpl w:val="6AAE318A"/>
    <w:lvl w:ilvl="0">
      <w:start w:val="2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>
    <w:multiLevelType w:val="multilevel"/>
    <w:tmpl w:val="F5C6514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>
    <w:multiLevelType w:val="multilevel"/>
    <w:tmpl w:val="52A050B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>
    <w:multiLevelType w:val="multilevel"/>
    <w:tmpl w:val="80AE035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>
    <w:multiLevelType w:val="multilevel"/>
    <w:tmpl w:val="D14AA1E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>
    <w:multiLevelType w:val="multilevel"/>
    <w:tmpl w:val="1D72097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multiLevelType w:val="multilevel"/>
    <w:tmpl w:val="1B4A4BC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>
    <w:multiLevelType w:val="multilevel"/>
    <w:tmpl w:val="A5ECC5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>
    <w:multiLevelType w:val="multilevel"/>
    <w:tmpl w:val="D5F0D3F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>
    <w:multiLevelType w:val="multilevel"/>
    <w:tmpl w:val="FBB877B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>
    <w:multiLevelType w:val="hybridMultilevel"/>
    <w:tmpl w:val="E630818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multiLevelType w:val="multilevel"/>
    <w:tmpl w:val="D7A438C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8">
    <w:multiLevelType w:val="multilevel"/>
    <w:tmpl w:val="788868A0"/>
    <w:lvl w:ilvl="0">
      <w:start w:val="3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>
    <w:multiLevelType w:val="hybridMultilevel"/>
    <w:tmpl w:val="FB1A99D0"/>
    <w:lvl w:ilvl="0">
      <w:start w:val="1"/>
      <w:numFmt w:val="upperRoman"/>
      <w:lvlRestart w:val="0"/>
      <w:lvlText w:val="%1."/>
      <w:lvlJc w:val="righ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multiLevelType w:val="hybridMultilevel"/>
    <w:tmpl w:val="4B1CD71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1">
    <w:multiLevelType w:val="hybridMultilevel"/>
    <w:tmpl w:val="23C2143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2">
    <w:multiLevelType w:val="hybridMultilevel"/>
    <w:tmpl w:val="7EF623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1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宋体" w:hAnsi="Calibri"/>
      <w:kern w:val="2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Calibri Light" w:eastAsia="宋体" w:cs="宋体" w:hAnsi="Calibri Light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Calibri Light" w:eastAsia="宋体" w:cs="宋体" w:hAnsi="Calibri Light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宋体" w:cs="宋体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宋体" w:cs="宋体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宋体" w:cs="宋体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宋体" w:cs="宋体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宋体" w:cs="宋体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宋体" w:cs="宋体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宋体" w:cs="宋体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Calibri Light" w:eastAsia="宋体" w:cs="宋体" w:hAnsi="Calibri Light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宋体" w:cs="宋体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character" w:customStyle="1" w:styleId="22">
    <w:name w:val="c103"/>
    <w:basedOn w:val="10"/>
  </w:style>
  <w:style w:type="paragraph" w:customStyle="1" w:styleId="23">
    <w:name w:val="c18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character" w:customStyle="1" w:styleId="24">
    <w:name w:val="c7"/>
    <w:basedOn w:val="10"/>
  </w:style>
  <w:style w:type="character" w:customStyle="1" w:styleId="25">
    <w:name w:val="c34"/>
    <w:basedOn w:val="10"/>
  </w:style>
  <w:style w:type="character" w:customStyle="1" w:styleId="26">
    <w:name w:val="c2"/>
    <w:basedOn w:val="10"/>
  </w:style>
  <w:style w:type="paragraph" w:customStyle="1" w:styleId="27">
    <w:name w:val="c1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character" w:customStyle="1" w:styleId="28">
    <w:name w:val="c3"/>
    <w:basedOn w:val="10"/>
  </w:style>
  <w:style w:type="paragraph" w:customStyle="1" w:styleId="29">
    <w:name w:val="c11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paragraph" w:customStyle="1" w:styleId="30">
    <w:name w:val="c0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paragraph" w:customStyle="1" w:styleId="31">
    <w:name w:val="No Spacing"/>
    <w:pPr>
      <w:spacing w:after="0" w:line="240" w:lineRule="auto"/>
    </w:pPr>
    <w:rPr>
      <w:rFonts w:ascii="Calibri" w:eastAsia="Calibri" w:cs="宋体" w:hAnsi="Calibri"/>
      <w:kern w:val="2"/>
      <w:sz w:val="22"/>
      <w:szCs w:val="22"/>
      <w:lang w:val="ru-RU" w:eastAsia="en-US" w:bidi="ar-SA"/>
    </w:rPr>
  </w:style>
  <w:style w:type="character" w:styleId="32">
    <w:name w:val="Hyperlink"/>
    <w:basedOn w:val="1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jpeg"/><Relationship Id="rId5" Type="http://schemas.openxmlformats.org/officeDocument/2006/relationships/image" Target="media/11.jpeg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Honor_Office</Application>
  <Pages>13</Pages>
  <Words>1051</Words>
  <Characters>6650</Characters>
  <Lines>349</Lines>
  <Paragraphs>200</Paragraphs>
  <CharactersWithSpaces>7537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Ирина Филипенко</dc:creator>
  <cp:lastModifiedBy>HONOR Docs</cp:lastModifiedBy>
  <cp:revision>3</cp:revision>
  <dcterms:created xsi:type="dcterms:W3CDTF">2025-06-15T19:05:00Z</dcterms:created>
  <dcterms:modified xsi:type="dcterms:W3CDTF">2026-04-06T15:20:59Z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2ed28389d7754292b6ee7e1732c48f1c</vt:lpwstr>
  </property>
</Properties>
</file>