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070E65" w:rsidP="00681557">
      <w:pPr>
        <w:spacing w:line="360" w:lineRule="auto"/>
        <w:jc w:val="center"/>
        <w:rPr>
          <w:b/>
          <w:sz w:val="28"/>
        </w:rPr>
      </w:pPr>
      <w:r w:rsidRPr="00070E65">
        <w:rPr>
          <w:b/>
          <w:sz w:val="28"/>
        </w:rPr>
        <w:t>09.02.07 Информационные системы и программирование</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070E65" w:rsidP="002B43F0">
      <w:pPr>
        <w:spacing w:line="360" w:lineRule="auto"/>
        <w:jc w:val="center"/>
        <w:rPr>
          <w:b/>
          <w:sz w:val="28"/>
        </w:rPr>
      </w:pPr>
      <w:r w:rsidRPr="00070E65">
        <w:rPr>
          <w:b/>
          <w:sz w:val="28"/>
        </w:rPr>
        <w:t>ОПЦ.06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A51477" w:rsidRPr="00681557" w:rsidRDefault="002B43F0" w:rsidP="00681557">
      <w:pPr>
        <w:spacing w:line="360" w:lineRule="auto"/>
        <w:jc w:val="center"/>
      </w:pPr>
      <w:r w:rsidRPr="00A45A7E">
        <w:t xml:space="preserve">Ставрополь, </w:t>
      </w:r>
      <w:r w:rsidR="0043400D">
        <w:t>20</w:t>
      </w:r>
      <w:r w:rsidR="004F1A45">
        <w:t>25</w:t>
      </w:r>
      <w:r w:rsidR="00BB2FE9">
        <w:t xml:space="preserve"> </w:t>
      </w:r>
      <w:r>
        <w:t>г.</w:t>
      </w:r>
    </w:p>
    <w:p w:rsidR="002B43F0" w:rsidRPr="00A51477" w:rsidRDefault="007C36B2" w:rsidP="00D061A7">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D061A7">
        <w:rPr>
          <w:color w:val="000000"/>
          <w:spacing w:val="-1"/>
        </w:rPr>
        <w:t xml:space="preserve">09.02.07 Информационные </w:t>
      </w:r>
      <w:r w:rsidR="00070E65" w:rsidRPr="00070E65">
        <w:rPr>
          <w:color w:val="000000"/>
          <w:spacing w:val="-1"/>
        </w:rPr>
        <w:t>системы и программирование</w:t>
      </w:r>
      <w:r w:rsidR="00D061A7">
        <w:rPr>
          <w:color w:val="000000"/>
          <w:spacing w:val="-1"/>
        </w:rPr>
        <w:t xml:space="preserve"> </w:t>
      </w:r>
      <w:r w:rsidR="00D061A7" w:rsidRPr="00D061A7">
        <w:rPr>
          <w:color w:val="000000"/>
          <w:spacing w:val="-1"/>
        </w:rPr>
        <w:t>утверждённым</w:t>
      </w:r>
      <w:r w:rsidR="00D061A7">
        <w:rPr>
          <w:color w:val="000000"/>
          <w:spacing w:val="-1"/>
        </w:rPr>
        <w:t xml:space="preserve"> приказом Минобрнауки России от </w:t>
      </w:r>
      <w:r w:rsidR="00D061A7" w:rsidRPr="00D061A7">
        <w:rPr>
          <w:color w:val="000000"/>
          <w:spacing w:val="-1"/>
        </w:rPr>
        <w:t>09.12.2016 г. №1547</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D061A7" w:rsidRPr="00D061A7">
        <w:rPr>
          <w:color w:val="000000"/>
          <w:spacing w:val="-1"/>
        </w:rPr>
        <w:t>09.02.07 Информационные системы и программирование</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4F1A45">
        <w:rPr>
          <w:color w:val="000000"/>
          <w:spacing w:val="-1"/>
        </w:rPr>
        <w:t>Ловянников Г.А.</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4F1A45"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4F1A45" w:rsidRDefault="004F1A45" w:rsidP="007A4F64">
      <w:pPr>
        <w:shd w:val="clear" w:color="auto" w:fill="FFFFFF"/>
        <w:tabs>
          <w:tab w:val="left" w:pos="1277"/>
          <w:tab w:val="left" w:pos="4704"/>
          <w:tab w:val="left" w:pos="6317"/>
          <w:tab w:val="left" w:pos="8102"/>
        </w:tabs>
        <w:spacing w:line="360" w:lineRule="auto"/>
        <w:jc w:val="both"/>
        <w:rPr>
          <w:color w:val="000000"/>
          <w:spacing w:val="-1"/>
        </w:rPr>
      </w:pPr>
    </w:p>
    <w:p w:rsidR="00D061A7" w:rsidRDefault="00D061A7"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352926">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16, 17.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177CCE">
        <w:rPr>
          <w:color w:val="000000"/>
          <w:spacing w:val="-1"/>
        </w:rPr>
        <w:t>39</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D061A7" w:rsidRDefault="00D061A7" w:rsidP="00D061A7">
      <w:pPr>
        <w:spacing w:line="360" w:lineRule="auto"/>
        <w:jc w:val="both"/>
      </w:pPr>
      <w:r>
        <w:t>ОК 01. Выбирать способы решения задач профессиональной деятельности, применительно к различным контекстам.</w:t>
      </w:r>
    </w:p>
    <w:p w:rsidR="00D061A7" w:rsidRDefault="00D061A7" w:rsidP="00D061A7">
      <w:pPr>
        <w:spacing w:line="360" w:lineRule="auto"/>
        <w:jc w:val="both"/>
      </w:pPr>
      <w:r>
        <w:t>ОК 02. Осуществлять поиск, анализ и интерпретацию информации, необходимой для выполнения задач профессиональной деятельности.</w:t>
      </w:r>
    </w:p>
    <w:p w:rsidR="00D061A7" w:rsidRDefault="00D061A7" w:rsidP="00D061A7">
      <w:pPr>
        <w:spacing w:line="360" w:lineRule="auto"/>
        <w:jc w:val="both"/>
      </w:pPr>
      <w:r>
        <w:t>ОК 03. Планировать и реализовывать собственное профессиональное и личностное развитие.</w:t>
      </w:r>
    </w:p>
    <w:p w:rsidR="00D061A7" w:rsidRDefault="00D061A7" w:rsidP="00D061A7">
      <w:pPr>
        <w:spacing w:line="360" w:lineRule="auto"/>
        <w:jc w:val="both"/>
      </w:pPr>
      <w:r>
        <w:t>ОК 04. Работать в коллективе и команде, эффективно взаимодействовать с коллегами, руководством, клиентами.</w:t>
      </w:r>
    </w:p>
    <w:p w:rsidR="00D061A7" w:rsidRDefault="00D061A7" w:rsidP="00D061A7">
      <w:pPr>
        <w:spacing w:line="360" w:lineRule="auto"/>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D061A7" w:rsidRDefault="00D061A7" w:rsidP="00D061A7">
      <w:pPr>
        <w:spacing w:line="360" w:lineRule="auto"/>
        <w:jc w:val="both"/>
      </w:pPr>
      <w:r>
        <w:t>ОК 05. Осуществлять устную и письменную коммуникацию на государственном языке с учетом особенностей социального и культурного контекста.</w:t>
      </w:r>
    </w:p>
    <w:p w:rsidR="00D061A7" w:rsidRDefault="00D061A7" w:rsidP="00D061A7">
      <w:pPr>
        <w:spacing w:line="360" w:lineRule="auto"/>
        <w:jc w:val="both"/>
      </w:pPr>
      <w:r>
        <w:t>ОК 07. Содействовать сохранению окружающей среды, ресурсосбережению, эффективно действовать в чрезвычайных ситуациях.</w:t>
      </w:r>
    </w:p>
    <w:p w:rsidR="00D061A7" w:rsidRDefault="00D061A7" w:rsidP="00D061A7">
      <w:pPr>
        <w:spacing w:line="360" w:lineRule="auto"/>
        <w:jc w:val="both"/>
      </w:pPr>
      <w:r>
        <w:t>ОК 09. Использовать информационные технологии в профессиональной деятельности.</w:t>
      </w:r>
    </w:p>
    <w:p w:rsidR="00D061A7" w:rsidRDefault="00D061A7" w:rsidP="00D061A7">
      <w:pPr>
        <w:spacing w:line="360" w:lineRule="auto"/>
        <w:jc w:val="both"/>
      </w:pPr>
      <w:r>
        <w:t>ОК 10. Пользоваться профессиональной документацией на государственном и иностранном языках.</w:t>
      </w:r>
    </w:p>
    <w:p w:rsidR="00D061A7" w:rsidRDefault="00D061A7" w:rsidP="00D061A7">
      <w:pPr>
        <w:spacing w:line="360" w:lineRule="auto"/>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352926" w:rsidRPr="00DE0872" w:rsidRDefault="00352926" w:rsidP="003940BE">
      <w:pPr>
        <w:spacing w:after="200" w:line="276" w:lineRule="auto"/>
        <w:jc w:val="center"/>
        <w:rPr>
          <w:b/>
          <w:color w:val="000000"/>
        </w:rPr>
      </w:pPr>
      <w:bookmarkStart w:id="0" w:name="_GoBack"/>
      <w:bookmarkEnd w:id="0"/>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EFF6D"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63AEE"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C48D1B"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E7A627"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D5B117"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67FA3"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ACC0F2"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BC75CA"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4B3D5B"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571C9E"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lastRenderedPageBreak/>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85" w:rsidRDefault="009C2785">
      <w:r>
        <w:separator/>
      </w:r>
    </w:p>
  </w:endnote>
  <w:endnote w:type="continuationSeparator" w:id="0">
    <w:p w:rsidR="009C2785" w:rsidRDefault="009C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85" w:rsidRDefault="009C2785">
      <w:r>
        <w:separator/>
      </w:r>
    </w:p>
  </w:footnote>
  <w:footnote w:type="continuationSeparator" w:id="0">
    <w:p w:rsidR="009C2785" w:rsidRDefault="009C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Default="009C2785"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C2785" w:rsidRDefault="009C278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Pr="00E54467" w:rsidRDefault="009C2785"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4F1A45">
      <w:rPr>
        <w:rStyle w:val="ae"/>
        <w:noProof/>
        <w:sz w:val="16"/>
        <w:szCs w:val="16"/>
      </w:rPr>
      <w:t>38</w:t>
    </w:r>
    <w:r w:rsidRPr="00E54467">
      <w:rPr>
        <w:rStyle w:val="ae"/>
        <w:sz w:val="16"/>
        <w:szCs w:val="16"/>
      </w:rPr>
      <w:fldChar w:fldCharType="end"/>
    </w:r>
  </w:p>
  <w:p w:rsidR="009C2785" w:rsidRPr="00E54467" w:rsidRDefault="009C2785">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0E65"/>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77CCE"/>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3215"/>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1A45"/>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1557"/>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43D"/>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A32"/>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2785"/>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061A7"/>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4A8DC-A21F-4A03-AA71-183A8EC0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87C8F-D11F-487B-B31F-7A9F40E3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11133</Words>
  <Characters>63461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2</cp:revision>
  <cp:lastPrinted>2024-02-01T12:46:00Z</cp:lastPrinted>
  <dcterms:created xsi:type="dcterms:W3CDTF">2025-10-12T11:35:00Z</dcterms:created>
  <dcterms:modified xsi:type="dcterms:W3CDTF">2025-10-12T11:35:00Z</dcterms:modified>
</cp:coreProperties>
</file>