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rsidR="00B05758" w:rsidRPr="001006A7" w:rsidRDefault="001006A7" w:rsidP="00156CF8">
      <w:pPr>
        <w:suppressAutoHyphens/>
        <w:spacing w:line="276" w:lineRule="auto"/>
        <w:jc w:val="center"/>
        <w:rPr>
          <w:rFonts w:ascii="Times New Roman" w:eastAsia="Times New Roman" w:hAnsi="Times New Roman" w:cs="Times New Roman"/>
          <w:sz w:val="28"/>
          <w:szCs w:val="28"/>
          <w:lang w:eastAsia="ru-RU"/>
        </w:rPr>
      </w:pPr>
      <w:r w:rsidRPr="001006A7">
        <w:rPr>
          <w:rFonts w:ascii="Times New Roman" w:hAnsi="Times New Roman" w:cs="Times New Roman"/>
          <w:sz w:val="28"/>
          <w:szCs w:val="28"/>
        </w:rPr>
        <w:t>42.02.01 Реклама</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w:t>
      </w:r>
      <w:r w:rsidRPr="001006A7">
        <w:rPr>
          <w:rFonts w:ascii="Times New Roman" w:eastAsia="Times New Roman" w:hAnsi="Times New Roman" w:cs="Times New Roman"/>
          <w:sz w:val="28"/>
          <w:szCs w:val="28"/>
          <w:lang w:eastAsia="ru-RU"/>
        </w:rPr>
        <w:t xml:space="preserve">государственным образовательным стандартом среднего профессионального образования специальности по </w:t>
      </w:r>
      <w:r w:rsidR="001006A7" w:rsidRPr="001006A7">
        <w:rPr>
          <w:rFonts w:ascii="Times New Roman" w:hAnsi="Times New Roman" w:cs="Times New Roman"/>
          <w:sz w:val="28"/>
          <w:szCs w:val="28"/>
        </w:rPr>
        <w:t>42.02.01 Реклама</w:t>
      </w:r>
      <w:r w:rsidR="003375FE" w:rsidRPr="001006A7">
        <w:rPr>
          <w:rFonts w:ascii="Times New Roman" w:hAnsi="Times New Roman" w:cs="Times New Roman"/>
          <w:b/>
          <w:sz w:val="28"/>
          <w:szCs w:val="28"/>
        </w:rPr>
        <w:t xml:space="preserve"> </w:t>
      </w:r>
      <w:r w:rsidRPr="001006A7">
        <w:rPr>
          <w:rFonts w:ascii="Times New Roman" w:eastAsia="Times New Roman" w:hAnsi="Times New Roman" w:cs="Times New Roman"/>
          <w:sz w:val="28"/>
          <w:szCs w:val="28"/>
          <w:lang w:eastAsia="ru-RU"/>
        </w:rPr>
        <w:t>и программой дисциплины «История</w:t>
      </w:r>
      <w:r w:rsidR="003375FE" w:rsidRPr="001006A7">
        <w:rPr>
          <w:rFonts w:ascii="Times New Roman" w:eastAsia="Times New Roman" w:hAnsi="Times New Roman" w:cs="Times New Roman"/>
          <w:sz w:val="28"/>
          <w:szCs w:val="28"/>
          <w:lang w:eastAsia="ru-RU"/>
        </w:rPr>
        <w:t xml:space="preserve"> России</w:t>
      </w:r>
      <w:r w:rsidRPr="001006A7">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1006A7" w:rsidRPr="001006A7">
        <w:rPr>
          <w:rFonts w:ascii="Times New Roman" w:hAnsi="Times New Roman" w:cs="Times New Roman"/>
          <w:sz w:val="28"/>
          <w:szCs w:val="28"/>
        </w:rPr>
        <w:t>42.02.01 Реклама</w:t>
      </w:r>
      <w:r w:rsidR="001006A7" w:rsidRPr="001006A7">
        <w:rPr>
          <w:rFonts w:ascii="Times New Roman" w:hAnsi="Times New Roman" w:cs="Times New Roman"/>
          <w:sz w:val="28"/>
          <w:szCs w:val="28"/>
        </w:rPr>
        <w:t>.</w:t>
      </w:r>
      <w:bookmarkStart w:id="0" w:name="_GoBack"/>
      <w:bookmarkEnd w:id="0"/>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3F1247"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rsidR="00057D0E" w:rsidRPr="00CC72F8" w:rsidRDefault="003F1247"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47" w:rsidRDefault="003F1247">
      <w:pPr>
        <w:spacing w:line="240" w:lineRule="auto"/>
      </w:pPr>
      <w:r>
        <w:separator/>
      </w:r>
    </w:p>
  </w:endnote>
  <w:endnote w:type="continuationSeparator" w:id="0">
    <w:p w:rsidR="003F1247" w:rsidRDefault="003F1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1006A7">
          <w:rPr>
            <w:noProof/>
          </w:rPr>
          <w:t>2</w:t>
        </w:r>
        <w:r>
          <w:fldChar w:fldCharType="end"/>
        </w:r>
      </w:p>
    </w:sdtContent>
  </w:sdt>
  <w:p w:rsidR="00CA6319" w:rsidRDefault="003F124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47" w:rsidRDefault="003F1247">
      <w:pPr>
        <w:spacing w:line="240" w:lineRule="auto"/>
      </w:pPr>
      <w:r>
        <w:separator/>
      </w:r>
    </w:p>
  </w:footnote>
  <w:footnote w:type="continuationSeparator" w:id="0">
    <w:p w:rsidR="003F1247" w:rsidRDefault="003F12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006A7"/>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C3A98"/>
    <w:rsid w:val="003E2548"/>
    <w:rsid w:val="003F1247"/>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C72F8"/>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B704D"/>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4992</Words>
  <Characters>28460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2025-09-29T14:02:00Z</dcterms:created>
  <dcterms:modified xsi:type="dcterms:W3CDTF">2025-09-29T14:02:00Z</dcterms:modified>
</cp:coreProperties>
</file>