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E14DC2" w:rsidRPr="00AE7E98" w:rsidRDefault="00AE7E98" w:rsidP="00E14DC2">
      <w:pPr>
        <w:rPr>
          <w:rFonts w:asciiTheme="minorHAnsi" w:hAnsiTheme="minorHAnsi" w:cstheme="minorBidi"/>
          <w:sz w:val="28"/>
          <w:szCs w:val="28"/>
        </w:rPr>
      </w:pPr>
      <w:r>
        <w:t xml:space="preserve">                       </w:t>
      </w:r>
      <w:r w:rsidR="001C7DC8">
        <w:t xml:space="preserve">    </w:t>
      </w:r>
      <w:bookmarkStart w:id="0" w:name="_GoBack"/>
      <w:bookmarkEnd w:id="0"/>
      <w:r w:rsidR="001C7DC8">
        <w:t>08.02.01 Строительство и эксплуатация зданий и сооружений</w:t>
      </w:r>
    </w:p>
    <w:p w:rsidR="001E04A4" w:rsidRPr="001E04A4" w:rsidRDefault="001E04A4" w:rsidP="001E04A4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  <w:sz w:val="28"/>
          <w:szCs w:val="28"/>
        </w:rPr>
      </w:pPr>
    </w:p>
    <w:p w:rsidR="00E97F4B" w:rsidRDefault="00E97F4B" w:rsidP="00E97F4B">
      <w:pPr>
        <w:tabs>
          <w:tab w:val="left" w:pos="6631"/>
        </w:tabs>
        <w:contextualSpacing/>
        <w:jc w:val="both"/>
        <w:rPr>
          <w:rFonts w:eastAsia="Calibri"/>
        </w:rPr>
      </w:pPr>
    </w:p>
    <w:p w:rsidR="00D552EC" w:rsidRPr="00E97F4B" w:rsidRDefault="00D552EC" w:rsidP="00D552EC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0F73C2" w:rsidRPr="000F73C2" w:rsidRDefault="000F73C2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BA" w:rsidRDefault="005C7CBA" w:rsidP="00BB52EB">
      <w:r>
        <w:separator/>
      </w:r>
    </w:p>
  </w:endnote>
  <w:endnote w:type="continuationSeparator" w:id="0">
    <w:p w:rsidR="005C7CBA" w:rsidRDefault="005C7CBA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DC8">
          <w:rPr>
            <w:noProof/>
          </w:rPr>
          <w:t>42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BA" w:rsidRDefault="005C7CBA" w:rsidP="00BB52EB">
      <w:r>
        <w:separator/>
      </w:r>
    </w:p>
  </w:footnote>
  <w:footnote w:type="continuationSeparator" w:id="0">
    <w:p w:rsidR="005C7CBA" w:rsidRDefault="005C7CBA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20E04"/>
    <w:rsid w:val="00034AF0"/>
    <w:rsid w:val="00035032"/>
    <w:rsid w:val="00052599"/>
    <w:rsid w:val="00066601"/>
    <w:rsid w:val="00067730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C7DC8"/>
    <w:rsid w:val="001E04A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C7CBA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4DA7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AE7E98"/>
    <w:rsid w:val="00B000CE"/>
    <w:rsid w:val="00B11E47"/>
    <w:rsid w:val="00B24647"/>
    <w:rsid w:val="00B4067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552EC"/>
    <w:rsid w:val="00D60D14"/>
    <w:rsid w:val="00D734DB"/>
    <w:rsid w:val="00D75746"/>
    <w:rsid w:val="00D834FB"/>
    <w:rsid w:val="00D92C11"/>
    <w:rsid w:val="00DC024F"/>
    <w:rsid w:val="00DC4346"/>
    <w:rsid w:val="00DE1624"/>
    <w:rsid w:val="00E00D9D"/>
    <w:rsid w:val="00E0772A"/>
    <w:rsid w:val="00E14DC2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97F4B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91D0-74C0-4D76-8425-3AEDD90E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13236</Words>
  <Characters>75451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63</cp:revision>
  <dcterms:created xsi:type="dcterms:W3CDTF">2023-05-11T20:41:00Z</dcterms:created>
  <dcterms:modified xsi:type="dcterms:W3CDTF">2025-09-26T06:06:00Z</dcterms:modified>
</cp:coreProperties>
</file>