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A50F4A">
      <w:pPr>
        <w:pStyle w:val="2"/>
        <w:jc w:val="center"/>
      </w:pPr>
      <w:r w:rsidRPr="00A87EC5">
        <w:t>Методические указания</w:t>
      </w:r>
    </w:p>
    <w:p w:rsidR="00A87EC5" w:rsidRDefault="00A87EC5" w:rsidP="00A50F4A">
      <w:pPr>
        <w:pStyle w:val="2"/>
        <w:jc w:val="center"/>
      </w:pPr>
      <w:r w:rsidRPr="00A87EC5">
        <w:t>к практически</w:t>
      </w:r>
      <w:r w:rsidR="00563693">
        <w:t>м</w:t>
      </w:r>
      <w:r w:rsidR="006A27BF">
        <w:t xml:space="preserve"> занятиям</w:t>
      </w:r>
    </w:p>
    <w:p w:rsidR="00A87EC5" w:rsidRPr="00A87EC5" w:rsidRDefault="00A87EC5" w:rsidP="00A50F4A">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A50F4A">
      <w:pPr>
        <w:pStyle w:val="2"/>
        <w:jc w:val="center"/>
      </w:pPr>
      <w:r>
        <w:t>для обучающихся</w:t>
      </w:r>
      <w:r w:rsidR="005904DA">
        <w:t xml:space="preserve"> специальности</w:t>
      </w:r>
      <w:r w:rsidR="005904DA" w:rsidRPr="00E926C4">
        <w:t>:</w:t>
      </w:r>
      <w:bookmarkStart w:id="0" w:name="_GoBack"/>
      <w:bookmarkEnd w:id="0"/>
    </w:p>
    <w:p w:rsidR="00395D86" w:rsidRPr="00395D86" w:rsidRDefault="00EF262E" w:rsidP="00395D86">
      <w:pPr>
        <w:tabs>
          <w:tab w:val="left" w:pos="6631"/>
        </w:tabs>
        <w:contextualSpacing/>
        <w:jc w:val="both"/>
        <w:rPr>
          <w:rFonts w:eastAsia="Calibri"/>
          <w:color w:val="4472C4" w:themeColor="accent5"/>
          <w:sz w:val="28"/>
          <w:szCs w:val="28"/>
        </w:rPr>
      </w:pPr>
      <w:r w:rsidRPr="00395D86">
        <w:rPr>
          <w:color w:val="4472C4" w:themeColor="accent5"/>
          <w:sz w:val="28"/>
          <w:szCs w:val="28"/>
        </w:rPr>
        <w:t xml:space="preserve">                                          </w:t>
      </w:r>
      <w:r w:rsidR="00395D86" w:rsidRPr="00395D86">
        <w:rPr>
          <w:rFonts w:eastAsia="Calibri"/>
          <w:color w:val="4472C4" w:themeColor="accent5"/>
          <w:sz w:val="28"/>
          <w:szCs w:val="28"/>
        </w:rPr>
        <w:t>42.02.01 Реклама</w:t>
      </w:r>
    </w:p>
    <w:p w:rsidR="00EF262E" w:rsidRDefault="00EF262E" w:rsidP="00EF262E">
      <w:pPr>
        <w:tabs>
          <w:tab w:val="left" w:pos="6631"/>
        </w:tabs>
        <w:contextualSpacing/>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lastRenderedPageBreak/>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2E1C92">
        <w:t>а</w:t>
      </w:r>
      <w:r w:rsidR="000204E3" w:rsidRPr="000204E3">
        <w:t>ева</w:t>
      </w:r>
      <w:proofErr w:type="spellEnd"/>
      <w:r w:rsidR="000204E3" w:rsidRPr="000204E3">
        <w:t xml:space="preserve"> М.З.</w:t>
      </w:r>
    </w:p>
    <w:p w:rsidR="002E1C92" w:rsidRPr="00F26560" w:rsidRDefault="002E1C92" w:rsidP="002E1C92">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pacing w:before="6" w:after="240" w:line="360" w:lineRule="auto"/>
        <w:ind w:firstLine="709"/>
        <w:jc w:val="both"/>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r w:rsidR="00A87EC5" w:rsidRPr="00F26560">
        <w:t>Задачи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lastRenderedPageBreak/>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lastRenderedPageBreak/>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r w:rsidRPr="00D9782F">
        <w:t>Ka</w:t>
      </w:r>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 xml:space="preserve">"Мы лишаем детей будущего, если продолжаем учить сегодня так, как учили этому вчера." 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r w:rsidRPr="00482878">
        <w:rPr>
          <w:color w:val="000000"/>
          <w:shd w:val="clear" w:color="auto" w:fill="FFFFFF"/>
        </w:rPr>
        <w:t>oдному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кoтoрый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обыденно-практический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материалы :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 xml:space="preserve">ва :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 xml:space="preserve">Обществознание: 10-й класс: базовый уровень :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xml:space="preserve">. — Москва : Просвещение, 2023. — 287 с. — ISBN 978-5-09-104509-3. — Текст :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 xml:space="preserve">Обществознание: 11-й класс: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xml:space="preserve">. — Москва : Просвещение, 2023. — 288 с. — ISBN 978-5-09-104510-9. — Текст :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 xml:space="preserve">Обществознание. +Приложение: Дополнительные материалы :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xml:space="preserve">. — Москва :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 Знать,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 Уметь: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осуществлять контроль за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2A" w:rsidRDefault="00B9412A" w:rsidP="00460ED8">
      <w:r>
        <w:separator/>
      </w:r>
    </w:p>
  </w:endnote>
  <w:endnote w:type="continuationSeparator" w:id="0">
    <w:p w:rsidR="00B9412A" w:rsidRDefault="00B9412A"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395D8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2A" w:rsidRDefault="00B9412A" w:rsidP="00460ED8">
      <w:r>
        <w:separator/>
      </w:r>
    </w:p>
  </w:footnote>
  <w:footnote w:type="continuationSeparator" w:id="0">
    <w:p w:rsidR="00B9412A" w:rsidRDefault="00B9412A"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1C92"/>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95D86"/>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412A"/>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3720"/>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1B06-23F5-47C4-8D1A-48E57DDD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54</Pages>
  <Words>14087</Words>
  <Characters>80296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26</cp:revision>
  <dcterms:created xsi:type="dcterms:W3CDTF">2023-04-04T18:04:00Z</dcterms:created>
  <dcterms:modified xsi:type="dcterms:W3CDTF">2025-09-15T16:17:00Z</dcterms:modified>
</cp:coreProperties>
</file>