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072B4B" w:rsidRPr="00862B2D" w:rsidRDefault="00E14A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B2D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DD3F67">
              <w:rPr>
                <w:rFonts w:ascii="Times New Roman" w:hAnsi="Times New Roman"/>
                <w:sz w:val="24"/>
                <w:szCs w:val="24"/>
              </w:rPr>
              <w:t>8</w:t>
            </w:r>
            <w:r w:rsidRPr="00862B2D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B671ED" w:rsidRPr="00862B2D">
              <w:rPr>
                <w:rFonts w:ascii="Times New Roman" w:hAnsi="Times New Roman"/>
                <w:sz w:val="24"/>
                <w:szCs w:val="24"/>
              </w:rPr>
              <w:t>20</w:t>
            </w:r>
            <w:r w:rsidRPr="00862B2D">
              <w:rPr>
                <w:rFonts w:ascii="Times New Roman" w:hAnsi="Times New Roman"/>
                <w:sz w:val="24"/>
                <w:szCs w:val="24"/>
              </w:rPr>
              <w:t>»</w:t>
            </w:r>
            <w:r w:rsidR="00B671ED" w:rsidRPr="00862B2D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  <w:r w:rsidRPr="00862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D25" w:rsidRPr="00862B2D">
              <w:rPr>
                <w:rFonts w:ascii="Times New Roman" w:hAnsi="Times New Roman"/>
                <w:sz w:val="24"/>
                <w:szCs w:val="24"/>
              </w:rPr>
              <w:t>2025</w:t>
            </w:r>
            <w:r w:rsidR="00072B4B" w:rsidRPr="00862B2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 </w:t>
            </w:r>
            <w:r w:rsidR="00094D25">
              <w:rPr>
                <w:rFonts w:ascii="Times New Roman" w:hAnsi="Times New Roman"/>
                <w:sz w:val="24"/>
                <w:szCs w:val="24"/>
              </w:rPr>
              <w:t>____________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B6D64" w:rsidRPr="00BB6D64" w:rsidRDefault="00BB6D64" w:rsidP="00BB6D64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Pr="00BB6D64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BB6D64">
        <w:rPr>
          <w:rFonts w:ascii="Times New Roman" w:hAnsi="Times New Roman"/>
          <w:bCs/>
          <w:sz w:val="28"/>
          <w:szCs w:val="28"/>
        </w:rPr>
        <w:t>ФОРМА ПРОВЕДЕНИЯ –</w:t>
      </w:r>
      <w:r w:rsidR="00E14A47" w:rsidRPr="00BB6D64">
        <w:rPr>
          <w:rFonts w:ascii="Times New Roman" w:hAnsi="Times New Roman"/>
          <w:bCs/>
          <w:sz w:val="28"/>
          <w:szCs w:val="28"/>
        </w:rPr>
        <w:t xml:space="preserve"> </w:t>
      </w:r>
      <w:r w:rsidRPr="00BB6D64">
        <w:rPr>
          <w:rFonts w:ascii="Times New Roman" w:hAnsi="Times New Roman"/>
          <w:bCs/>
          <w:sz w:val="28"/>
          <w:szCs w:val="28"/>
        </w:rPr>
        <w:t>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</w:t>
      </w:r>
      <w:r w:rsidR="00E14A47">
        <w:rPr>
          <w:rFonts w:ascii="Times New Roman" w:hAnsi="Times New Roman"/>
          <w:sz w:val="28"/>
          <w:szCs w:val="28"/>
        </w:rPr>
        <w:t>Страхование</w:t>
      </w:r>
      <w:r>
        <w:rPr>
          <w:rFonts w:ascii="Times New Roman" w:hAnsi="Times New Roman"/>
          <w:sz w:val="28"/>
          <w:szCs w:val="28"/>
        </w:rPr>
        <w:t>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обучения: </w:t>
      </w:r>
      <w:r w:rsidR="00875FC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14A47">
        <w:rPr>
          <w:rFonts w:ascii="Times New Roman" w:hAnsi="Times New Roman"/>
          <w:sz w:val="28"/>
          <w:szCs w:val="28"/>
        </w:rPr>
        <w:t>ля студентов по специальности 38.02.07 Банковское дело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6547C1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547C1"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094D25">
        <w:rPr>
          <w:rFonts w:ascii="Times New Roman" w:hAnsi="Times New Roman"/>
          <w:sz w:val="28"/>
          <w:szCs w:val="28"/>
        </w:rPr>
        <w:t>Ставрополь, 2025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976E2E" w:rsidRPr="00351DD2" w:rsidRDefault="00BB6D64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Фонд оценочных сре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дств пр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едназначен</w:t>
      </w:r>
      <w:r w:rsidR="00976E2E" w:rsidRPr="00351DD2">
        <w:rPr>
          <w:rFonts w:ascii="Times New Roman" w:hAnsi="Times New Roman"/>
          <w:sz w:val="28"/>
          <w:szCs w:val="28"/>
          <w:lang w:eastAsia="ru-RU"/>
        </w:rPr>
        <w:t xml:space="preserve">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="00976E2E"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BB6D64" w:rsidP="00BB6D64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ФОС  включае</w:t>
      </w:r>
      <w:r w:rsidR="00976E2E" w:rsidRPr="00351DD2">
        <w:rPr>
          <w:rFonts w:ascii="Times New Roman" w:hAnsi="Times New Roman"/>
          <w:sz w:val="28"/>
          <w:szCs w:val="28"/>
          <w:lang w:eastAsia="ru-RU"/>
        </w:rPr>
        <w:t xml:space="preserve">т контрольные материалы для проведения промежуточной аттестации в форме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="00976E2E"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14A47" w:rsidRDefault="00976E2E" w:rsidP="00E14A47">
      <w:pPr>
        <w:keepNext/>
        <w:keepLines/>
        <w:suppressLineNumbers/>
        <w:suppressAutoHyphens/>
        <w:spacing w:after="0" w:line="240" w:lineRule="auto"/>
        <w:jc w:val="both"/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3C1D9A" w:rsidRPr="00E14A47" w:rsidRDefault="003C1D9A" w:rsidP="00E14A4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6"/>
        <w:gridCol w:w="4037"/>
        <w:gridCol w:w="3618"/>
      </w:tblGrid>
      <w:tr w:rsidR="00E14A47" w:rsidRPr="003C1D9A" w:rsidTr="00D93F89">
        <w:trPr>
          <w:trHeight w:val="649"/>
        </w:trPr>
        <w:tc>
          <w:tcPr>
            <w:tcW w:w="1001" w:type="pct"/>
            <w:hideMark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3C1D9A">
              <w:rPr>
                <w:rFonts w:ascii="Times New Roman" w:hAnsi="Times New Roman"/>
                <w:b/>
              </w:rPr>
              <w:t>Код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C1D9A">
              <w:rPr>
                <w:rFonts w:ascii="Times New Roman" w:hAnsi="Times New Roman"/>
                <w:b/>
              </w:rPr>
              <w:t>ПК, ОК</w:t>
            </w:r>
          </w:p>
        </w:tc>
        <w:tc>
          <w:tcPr>
            <w:tcW w:w="2109" w:type="pct"/>
            <w:hideMark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3C1D9A"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1890" w:type="pct"/>
            <w:hideMark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3C1D9A">
              <w:rPr>
                <w:rFonts w:ascii="Times New Roman" w:hAnsi="Times New Roman"/>
                <w:b/>
              </w:rPr>
              <w:t>Знания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01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распознавать задачу и/или проблему в профессиональном и/или социальном контексте;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анализировать задачу и/или проблему и выделять её составные части;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этапы решения задачи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выявлять и эффективно искать информацию, необходимую для решения задачи и/или проблемы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составлять план действия;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необходимые ресурсы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proofErr w:type="gramStart"/>
            <w:r w:rsidRPr="003C1D9A">
              <w:rPr>
                <w:rFonts w:ascii="Times New Roman" w:hAnsi="Times New Roman"/>
                <w:iCs/>
                <w:spacing w:val="-6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реализовывать составленный план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актуальный профессиональный и социальный контекст, в котором приходится работать и жить;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алгоритмы выполнения работ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в профессиональной и смежных </w:t>
            </w:r>
            <w:proofErr w:type="gramStart"/>
            <w:r w:rsidRPr="003C1D9A">
              <w:rPr>
                <w:rFonts w:ascii="Times New Roman" w:hAnsi="Times New Roman"/>
                <w:iCs/>
              </w:rPr>
              <w:t>областях</w:t>
            </w:r>
            <w:proofErr w:type="gramEnd"/>
            <w:r w:rsidRPr="003C1D9A">
              <w:rPr>
                <w:rFonts w:ascii="Times New Roman" w:hAnsi="Times New Roman"/>
                <w:iCs/>
              </w:rPr>
              <w:t xml:space="preserve"> методы работы в профессиональной и смежных сферах;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структуру плана для решения задач порядок оценки результатов решения задач профессиональной деятельности</w:t>
            </w:r>
          </w:p>
        </w:tc>
      </w:tr>
      <w:tr w:rsidR="00E14A47" w:rsidRPr="003C1D9A" w:rsidTr="00D93F89">
        <w:trPr>
          <w:trHeight w:val="98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02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определять задачи для поиска информации;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необходимые источники информации;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планировать процесс поиска;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структурировать получаемую информацию;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выделять наиболее значимое в перечне информации;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оценивать практическую значимость </w:t>
            </w:r>
            <w:r w:rsidRPr="003C1D9A">
              <w:rPr>
                <w:rFonts w:ascii="Times New Roman" w:hAnsi="Times New Roman"/>
                <w:iCs/>
                <w:spacing w:val="-6"/>
              </w:rPr>
              <w:lastRenderedPageBreak/>
              <w:t>результатов поиска;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использовать современное программное обеспечение;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приемы структурирования информации;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формат оформления результатов поиска информации,  современные средства и устройства информатизации;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порядок их применения и программное обеспечение в </w:t>
            </w:r>
            <w:r w:rsidRPr="003C1D9A">
              <w:rPr>
                <w:rFonts w:ascii="Times New Roman" w:hAnsi="Times New Roman"/>
                <w:iCs/>
              </w:rPr>
              <w:lastRenderedPageBreak/>
              <w:t>профессиональной деятельности в том числе с использованием цифровых средств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lastRenderedPageBreak/>
              <w:t>ОК 03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применять современную научную профессиональную терминологию;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и выстраивать траектории профессионального развития и самообразования;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выявлять достоинства и недостатки коммерческой идеи;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оформлять бизнес-план;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рассчитывать размеры выплат по процентным ставкам кредитования;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презентовать бизнес-идею;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определять источники финансирования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содержание актуальной нормативно-правовой документации;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современная научная и профессиональная терминология;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возможные траектории профессионального развития и самообразования;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основы предпринимательской деятельности;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основы финансовой грамотности;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правила разработки бизнес-планов;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порядок выстраивания презентации;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кредитные банковские продукты</w:t>
            </w:r>
          </w:p>
        </w:tc>
      </w:tr>
      <w:tr w:rsidR="00E14A47" w:rsidRPr="003C1D9A" w:rsidTr="00D93F89">
        <w:trPr>
          <w:trHeight w:val="1425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04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организовывать работу коллектива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 команды;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основы проектной деятельности</w:t>
            </w:r>
          </w:p>
        </w:tc>
      </w:tr>
      <w:tr w:rsidR="00E14A47" w:rsidRPr="003C1D9A" w:rsidTr="00D93F89">
        <w:trPr>
          <w:trHeight w:val="140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lastRenderedPageBreak/>
              <w:t>ОК 05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 xml:space="preserve">грамотно излагать свои мысли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особенности социального и культурного контекста;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правила оформления документов 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и построения устных сообщений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ОК 09</w:t>
            </w:r>
          </w:p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участвовать в диалогах на знакомые общие и профессиональные темы;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строить простые высказывания о себе и о своей профессиональной деятельности;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кратко обосновывать и объяснять свои действия (текущие и планируемые);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правила построения простых и сложных предложений на профессиональные темы;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основные общеупотребительные глаголы (бытовая и профессиональная лексика);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особенности произношения;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правила чтения текстов профессиональной направленности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ПК 2.1</w:t>
            </w: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оценивать качество обеспечения и кредитные риски по потребительским кредитам;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проверять полноту и подлинность документов заемщика для получения кредитов;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проверять качество и достаточность обеспечения возвратности кредита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законодательство Российской Федерации о персональных данных;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</w:rPr>
              <w:t>законодательство Российской Федерации о защите прав потребителей, в том числе потребителей финансовых услуг</w:t>
            </w:r>
          </w:p>
        </w:tc>
      </w:tr>
      <w:tr w:rsidR="00E14A47" w:rsidRPr="003C1D9A" w:rsidTr="00D93F89">
        <w:trPr>
          <w:trHeight w:val="1693"/>
        </w:trPr>
        <w:tc>
          <w:tcPr>
            <w:tcW w:w="1001" w:type="pct"/>
          </w:tcPr>
          <w:p w:rsidR="00E14A47" w:rsidRPr="003C1D9A" w:rsidRDefault="00E14A47" w:rsidP="00D93F89">
            <w:pPr>
              <w:suppressAutoHyphens/>
              <w:jc w:val="center"/>
              <w:rPr>
                <w:rFonts w:ascii="Times New Roman" w:hAnsi="Times New Roman"/>
              </w:rPr>
            </w:pPr>
            <w:r w:rsidRPr="003C1D9A">
              <w:rPr>
                <w:rFonts w:ascii="Times New Roman" w:hAnsi="Times New Roman"/>
              </w:rPr>
              <w:t>ПК 2.2</w:t>
            </w:r>
          </w:p>
        </w:tc>
        <w:tc>
          <w:tcPr>
            <w:tcW w:w="2109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оформлять пакет документов для заключения договора о залоге;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  <w:spacing w:val="-6"/>
              </w:rPr>
            </w:pPr>
            <w:r w:rsidRPr="003C1D9A">
              <w:rPr>
                <w:rFonts w:ascii="Times New Roman" w:hAnsi="Times New Roman"/>
                <w:iCs/>
                <w:spacing w:val="-6"/>
              </w:rPr>
              <w:t>составлять график платежей по кредиту и процентам</w:t>
            </w:r>
          </w:p>
        </w:tc>
        <w:tc>
          <w:tcPr>
            <w:tcW w:w="1890" w:type="pct"/>
          </w:tcPr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 xml:space="preserve">содержание кредитного договора, порядок его заключения, изменения </w:t>
            </w:r>
            <w:r w:rsidRPr="003C1D9A">
              <w:rPr>
                <w:rFonts w:ascii="Times New Roman" w:hAnsi="Times New Roman"/>
                <w:iCs/>
              </w:rPr>
              <w:lastRenderedPageBreak/>
              <w:t>условий и расторжения;</w:t>
            </w:r>
          </w:p>
          <w:p w:rsidR="00E14A47" w:rsidRPr="003C1D9A" w:rsidRDefault="00E14A47" w:rsidP="00D93F89">
            <w:pPr>
              <w:suppressAutoHyphens/>
              <w:rPr>
                <w:rFonts w:ascii="Times New Roman" w:hAnsi="Times New Roman"/>
                <w:iCs/>
              </w:rPr>
            </w:pPr>
            <w:r w:rsidRPr="003C1D9A">
              <w:rPr>
                <w:rFonts w:ascii="Times New Roman" w:hAnsi="Times New Roman"/>
                <w:iCs/>
              </w:rPr>
              <w:t>типичные нарушения при осуществлении кредитных операций</w:t>
            </w:r>
          </w:p>
        </w:tc>
      </w:tr>
    </w:tbl>
    <w:p w:rsidR="00E14A47" w:rsidRPr="003C1D9A" w:rsidRDefault="00E14A47" w:rsidP="00E14A47">
      <w:pPr>
        <w:jc w:val="center"/>
        <w:rPr>
          <w:rFonts w:ascii="Times New Roman" w:hAnsi="Times New Roman"/>
          <w:b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6F1CAC" w:rsidRPr="00351DD2" w:rsidRDefault="006F1CAC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8FC" w:rsidRPr="006F1CAC" w:rsidRDefault="00976E2E" w:rsidP="00B658FC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>1. Место (время) выполнения задания:</w:t>
      </w:r>
      <w:r w:rsidR="0033309F" w:rsidRPr="006F1CAC">
        <w:rPr>
          <w:rFonts w:ascii="Times New Roman" w:hAnsi="Times New Roman"/>
          <w:sz w:val="28"/>
          <w:szCs w:val="28"/>
        </w:rPr>
        <w:t xml:space="preserve"> аудитория</w:t>
      </w:r>
      <w:r w:rsidR="00631C89" w:rsidRPr="006F1CAC">
        <w:rPr>
          <w:rFonts w:ascii="Times New Roman" w:hAnsi="Times New Roman"/>
          <w:sz w:val="28"/>
          <w:szCs w:val="28"/>
        </w:rPr>
        <w:t xml:space="preserve"> </w:t>
      </w:r>
      <w:r w:rsidR="003C1D9A" w:rsidRPr="006F1CAC">
        <w:rPr>
          <w:rFonts w:ascii="Times New Roman" w:hAnsi="Times New Roman"/>
          <w:sz w:val="28"/>
          <w:szCs w:val="28"/>
        </w:rPr>
        <w:t>Л 406</w:t>
      </w:r>
      <w:r w:rsidR="003C1D9A" w:rsidRPr="006F1CAC">
        <w:rPr>
          <w:rFonts w:ascii="Times New Roman" w:eastAsia="Times New Roman" w:hAnsi="Times New Roman"/>
          <w:sz w:val="28"/>
          <w:szCs w:val="28"/>
        </w:rPr>
        <w:t>.</w:t>
      </w:r>
    </w:p>
    <w:p w:rsidR="00976E2E" w:rsidRPr="006F1CAC" w:rsidRDefault="00976E2E" w:rsidP="00B658F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 w:rsidRPr="006F1CAC">
        <w:rPr>
          <w:rFonts w:ascii="Times New Roman" w:hAnsi="Times New Roman"/>
          <w:sz w:val="28"/>
          <w:szCs w:val="28"/>
        </w:rPr>
        <w:t>20</w:t>
      </w:r>
      <w:r w:rsidRPr="006F1CAC"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6F1CAC" w:rsidRDefault="00976E2E" w:rsidP="00DE35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 w:rsidRPr="006F1CAC">
        <w:rPr>
          <w:rFonts w:ascii="Times New Roman" w:hAnsi="Times New Roman"/>
          <w:sz w:val="28"/>
          <w:szCs w:val="28"/>
        </w:rPr>
        <w:t>зачете</w:t>
      </w:r>
      <w:r w:rsidRPr="006F1CAC">
        <w:rPr>
          <w:rFonts w:ascii="Times New Roman" w:hAnsi="Times New Roman"/>
          <w:sz w:val="28"/>
          <w:szCs w:val="28"/>
        </w:rPr>
        <w:t>, оборудование</w:t>
      </w:r>
      <w:proofErr w:type="gramStart"/>
      <w:r w:rsidRPr="006F1CAC">
        <w:rPr>
          <w:rFonts w:ascii="Times New Roman" w:hAnsi="Times New Roman"/>
          <w:sz w:val="28"/>
          <w:szCs w:val="28"/>
        </w:rPr>
        <w:t>:к</w:t>
      </w:r>
      <w:proofErr w:type="gramEnd"/>
      <w:r w:rsidRPr="006F1CAC">
        <w:rPr>
          <w:rFonts w:ascii="Times New Roman" w:hAnsi="Times New Roman"/>
          <w:sz w:val="28"/>
          <w:szCs w:val="28"/>
        </w:rPr>
        <w:t>анцелярские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F1CAC">
        <w:rPr>
          <w:rFonts w:ascii="Times New Roman" w:eastAsia="Times New Roman" w:hAnsi="Times New Roman"/>
          <w:b/>
          <w:sz w:val="28"/>
          <w:szCs w:val="28"/>
        </w:rPr>
        <w:t xml:space="preserve">Вопросы к зачету 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Экономическая необходимость и роль страхования в условиях рыночной экономики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Особенности страхования как экономической категории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Функции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Характеристика организации страхового процесса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Временные границы страхования и заключение договора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Характеристика наступления страхового случая и его последствия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Установление объема страховой ответственности, цены страхового риска и страховой услуги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Показатели, отражающие количественные и качественные параметры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Сущность классификации страховых отношений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Всеобщая классификация страховых отношений в РФ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Частичная классификация по имущественному страхованию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 xml:space="preserve">Классификация, предусмотренная нормативными документами по страхованию. 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Формы проведения страхования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>Организационные основы страховой деятельности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t>Финансовые основы страховой деятельности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sz w:val="28"/>
          <w:szCs w:val="28"/>
        </w:rPr>
        <w:lastRenderedPageBreak/>
        <w:t>Характеристика инвестиционной деятельности страховщиков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жизни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от несчастных случаев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Обязательно медицинское страхование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Добровольное медицинское страхование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Имущественное страхование: общие принципы и подходы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имущества от огня и иных опасностей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Страхования домашнего имущества</w:t>
      </w:r>
    </w:p>
    <w:p w:rsidR="006F1CAC" w:rsidRPr="006F1CAC" w:rsidRDefault="006F1CAC" w:rsidP="006F1CAC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грузоперевозок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Понятие и особенности гражданской ответственности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ответственности владельцев транспортных средств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Страхование профессиональной ответственности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Участники и формы перестрахования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Юридические основы перестрахования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Техника перестрахования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Пропорциональное перестрахование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Непропорциональное перестрахование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Страховой рынок, его структура и участники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Основные формы организации страховых компаний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F1CAC">
        <w:rPr>
          <w:rFonts w:ascii="Times New Roman" w:hAnsi="Times New Roman"/>
          <w:color w:val="000000"/>
          <w:sz w:val="28"/>
          <w:szCs w:val="28"/>
        </w:rPr>
        <w:t>Функции и задачи страховых посредников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Государственное регулирование функционирования страхового рынка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 xml:space="preserve"> Страхование инвестиций от политических рисков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Страхование экспортных кредитов</w:t>
      </w:r>
    </w:p>
    <w:p w:rsid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F1CAC">
        <w:rPr>
          <w:rFonts w:ascii="Times New Roman" w:hAnsi="Times New Roman"/>
          <w:iCs/>
          <w:color w:val="000000"/>
          <w:sz w:val="28"/>
          <w:szCs w:val="28"/>
        </w:rPr>
        <w:t>Правовая база для проведения страховых операций</w:t>
      </w:r>
    </w:p>
    <w:p w:rsidR="006F1CAC" w:rsidRPr="006F1CAC" w:rsidRDefault="006F1CAC" w:rsidP="006F1CAC">
      <w:pPr>
        <w:numPr>
          <w:ilvl w:val="0"/>
          <w:numId w:val="7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F1CAC">
        <w:rPr>
          <w:rFonts w:ascii="Times New Roman" w:hAnsi="Times New Roman"/>
          <w:bCs/>
          <w:color w:val="000000"/>
          <w:sz w:val="28"/>
          <w:szCs w:val="28"/>
        </w:rPr>
        <w:t>Страхование в банковской сфере</w:t>
      </w:r>
    </w:p>
    <w:p w:rsidR="006F1CAC" w:rsidRPr="006F1CAC" w:rsidRDefault="006F1CAC" w:rsidP="006F1CAC">
      <w:pPr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6F1CAC" w:rsidRDefault="006F1CAC" w:rsidP="006F1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r>
        <w:rPr>
          <w:rFonts w:ascii="Times New Roman" w:hAnsi="Times New Roman"/>
          <w:b/>
          <w:sz w:val="28"/>
          <w:szCs w:val="28"/>
        </w:rPr>
        <w:t xml:space="preserve"> «Зачтено</w:t>
      </w:r>
      <w:r w:rsidR="00B658FC" w:rsidRPr="00B658F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:</w:t>
      </w:r>
      <w:r w:rsidR="00B658FC"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proofErr w:type="gramStart"/>
      <w:r w:rsidR="00B658FC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B658FC"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 w:rsidR="00B658FC">
        <w:rPr>
          <w:rFonts w:ascii="Times New Roman" w:hAnsi="Times New Roman"/>
          <w:sz w:val="28"/>
          <w:szCs w:val="28"/>
        </w:rPr>
        <w:t>обучающийся</w:t>
      </w:r>
      <w:r w:rsidR="00B658FC"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6F1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</w:t>
      </w:r>
      <w:r w:rsidR="006F1CAC">
        <w:rPr>
          <w:rFonts w:ascii="Times New Roman" w:hAnsi="Times New Roman"/>
          <w:sz w:val="28"/>
          <w:szCs w:val="28"/>
        </w:rPr>
        <w:t>твета имеют отельные неточности.</w:t>
      </w:r>
    </w:p>
    <w:p w:rsidR="00B658FC" w:rsidRPr="00CE0DCF" w:rsidRDefault="006F1CA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«Не зачтено</w:t>
      </w:r>
      <w:r w:rsidR="00B658FC" w:rsidRPr="00B658FC">
        <w:rPr>
          <w:rFonts w:ascii="Times New Roman" w:hAnsi="Times New Roman"/>
          <w:b/>
          <w:sz w:val="28"/>
          <w:szCs w:val="28"/>
        </w:rPr>
        <w:t xml:space="preserve">» </w:t>
      </w:r>
      <w:r w:rsidR="00B658FC" w:rsidRPr="00CE0DCF">
        <w:rPr>
          <w:rFonts w:ascii="Times New Roman" w:hAnsi="Times New Roman"/>
          <w:sz w:val="28"/>
          <w:szCs w:val="28"/>
        </w:rPr>
        <w:t xml:space="preserve">- </w:t>
      </w:r>
      <w:r w:rsidR="00B658FC">
        <w:rPr>
          <w:rFonts w:ascii="Times New Roman" w:hAnsi="Times New Roman"/>
          <w:sz w:val="28"/>
          <w:szCs w:val="28"/>
        </w:rPr>
        <w:t>обучающийся</w:t>
      </w:r>
      <w:r w:rsidR="00B658FC"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1"/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E7746"/>
    <w:multiLevelType w:val="hybridMultilevel"/>
    <w:tmpl w:val="84902D5E"/>
    <w:lvl w:ilvl="0" w:tplc="F612D3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7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9"/>
  </w:num>
  <w:num w:numId="3">
    <w:abstractNumId w:val="46"/>
  </w:num>
  <w:num w:numId="4">
    <w:abstractNumId w:val="31"/>
  </w:num>
  <w:num w:numId="5">
    <w:abstractNumId w:val="37"/>
  </w:num>
  <w:num w:numId="6">
    <w:abstractNumId w:val="50"/>
  </w:num>
  <w:num w:numId="7">
    <w:abstractNumId w:val="56"/>
  </w:num>
  <w:num w:numId="8">
    <w:abstractNumId w:val="53"/>
  </w:num>
  <w:num w:numId="9">
    <w:abstractNumId w:val="17"/>
  </w:num>
  <w:num w:numId="10">
    <w:abstractNumId w:val="2"/>
  </w:num>
  <w:num w:numId="11">
    <w:abstractNumId w:val="36"/>
  </w:num>
  <w:num w:numId="12">
    <w:abstractNumId w:val="9"/>
  </w:num>
  <w:num w:numId="13">
    <w:abstractNumId w:val="27"/>
  </w:num>
  <w:num w:numId="14">
    <w:abstractNumId w:val="8"/>
  </w:num>
  <w:num w:numId="15">
    <w:abstractNumId w:val="24"/>
  </w:num>
  <w:num w:numId="16">
    <w:abstractNumId w:val="54"/>
  </w:num>
  <w:num w:numId="17">
    <w:abstractNumId w:val="64"/>
  </w:num>
  <w:num w:numId="18">
    <w:abstractNumId w:val="21"/>
  </w:num>
  <w:num w:numId="19">
    <w:abstractNumId w:val="43"/>
  </w:num>
  <w:num w:numId="20">
    <w:abstractNumId w:val="30"/>
  </w:num>
  <w:num w:numId="21">
    <w:abstractNumId w:val="38"/>
  </w:num>
  <w:num w:numId="22">
    <w:abstractNumId w:val="52"/>
  </w:num>
  <w:num w:numId="23">
    <w:abstractNumId w:val="14"/>
  </w:num>
  <w:num w:numId="24">
    <w:abstractNumId w:val="7"/>
  </w:num>
  <w:num w:numId="25">
    <w:abstractNumId w:val="4"/>
  </w:num>
  <w:num w:numId="26">
    <w:abstractNumId w:val="57"/>
  </w:num>
  <w:num w:numId="27">
    <w:abstractNumId w:val="67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5"/>
  </w:num>
  <w:num w:numId="40">
    <w:abstractNumId w:val="28"/>
  </w:num>
  <w:num w:numId="41">
    <w:abstractNumId w:val="11"/>
  </w:num>
  <w:num w:numId="42">
    <w:abstractNumId w:val="0"/>
  </w:num>
  <w:num w:numId="43">
    <w:abstractNumId w:val="15"/>
  </w:num>
  <w:num w:numId="44">
    <w:abstractNumId w:val="60"/>
  </w:num>
  <w:num w:numId="45">
    <w:abstractNumId w:val="13"/>
  </w:num>
  <w:num w:numId="46">
    <w:abstractNumId w:val="55"/>
  </w:num>
  <w:num w:numId="47">
    <w:abstractNumId w:val="34"/>
  </w:num>
  <w:num w:numId="48">
    <w:abstractNumId w:val="16"/>
  </w:num>
  <w:num w:numId="49">
    <w:abstractNumId w:val="12"/>
  </w:num>
  <w:num w:numId="50">
    <w:abstractNumId w:val="26"/>
  </w:num>
  <w:num w:numId="51">
    <w:abstractNumId w:val="6"/>
  </w:num>
  <w:num w:numId="52">
    <w:abstractNumId w:val="63"/>
  </w:num>
  <w:num w:numId="53">
    <w:abstractNumId w:val="42"/>
  </w:num>
  <w:num w:numId="54">
    <w:abstractNumId w:val="19"/>
  </w:num>
  <w:num w:numId="55">
    <w:abstractNumId w:val="32"/>
  </w:num>
  <w:num w:numId="56">
    <w:abstractNumId w:val="25"/>
  </w:num>
  <w:num w:numId="57">
    <w:abstractNumId w:val="69"/>
  </w:num>
  <w:num w:numId="58">
    <w:abstractNumId w:val="10"/>
  </w:num>
  <w:num w:numId="59">
    <w:abstractNumId w:val="62"/>
  </w:num>
  <w:num w:numId="60">
    <w:abstractNumId w:val="20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8"/>
  </w:num>
  <w:num w:numId="66">
    <w:abstractNumId w:val="48"/>
  </w:num>
  <w:num w:numId="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3"/>
  </w:num>
  <w:num w:numId="69">
    <w:abstractNumId w:val="47"/>
  </w:num>
  <w:num w:numId="70">
    <w:abstractNumId w:val="5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094D25"/>
    <w:rsid w:val="00114BC3"/>
    <w:rsid w:val="001A7045"/>
    <w:rsid w:val="00245BB8"/>
    <w:rsid w:val="0025783F"/>
    <w:rsid w:val="002609CA"/>
    <w:rsid w:val="002777E7"/>
    <w:rsid w:val="002A2DD3"/>
    <w:rsid w:val="00311D8B"/>
    <w:rsid w:val="00321845"/>
    <w:rsid w:val="0033309F"/>
    <w:rsid w:val="00340C6D"/>
    <w:rsid w:val="0034352E"/>
    <w:rsid w:val="00351868"/>
    <w:rsid w:val="0038365D"/>
    <w:rsid w:val="003C1D9A"/>
    <w:rsid w:val="004201ED"/>
    <w:rsid w:val="00425D93"/>
    <w:rsid w:val="004D69B2"/>
    <w:rsid w:val="004E197C"/>
    <w:rsid w:val="00502C5F"/>
    <w:rsid w:val="005E3083"/>
    <w:rsid w:val="00616280"/>
    <w:rsid w:val="00631C89"/>
    <w:rsid w:val="00633D83"/>
    <w:rsid w:val="006547C1"/>
    <w:rsid w:val="00680B33"/>
    <w:rsid w:val="00687AAB"/>
    <w:rsid w:val="006F1CAC"/>
    <w:rsid w:val="00862B2D"/>
    <w:rsid w:val="00875FC1"/>
    <w:rsid w:val="008B0F09"/>
    <w:rsid w:val="008B30D9"/>
    <w:rsid w:val="008E6B60"/>
    <w:rsid w:val="009722F4"/>
    <w:rsid w:val="00973520"/>
    <w:rsid w:val="00976E2E"/>
    <w:rsid w:val="009F7AB4"/>
    <w:rsid w:val="00A1235C"/>
    <w:rsid w:val="00A266F5"/>
    <w:rsid w:val="00A525E7"/>
    <w:rsid w:val="00AD16E0"/>
    <w:rsid w:val="00AD6C41"/>
    <w:rsid w:val="00AF7BE0"/>
    <w:rsid w:val="00B05337"/>
    <w:rsid w:val="00B658FC"/>
    <w:rsid w:val="00B671ED"/>
    <w:rsid w:val="00B74850"/>
    <w:rsid w:val="00B960F7"/>
    <w:rsid w:val="00BB6D64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7262F"/>
    <w:rsid w:val="00D9269A"/>
    <w:rsid w:val="00DD3644"/>
    <w:rsid w:val="00DD3F67"/>
    <w:rsid w:val="00DE35F2"/>
    <w:rsid w:val="00E14A47"/>
    <w:rsid w:val="00E23F49"/>
    <w:rsid w:val="00E4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1AD-CD75-4581-A521-3088413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39</cp:revision>
  <dcterms:created xsi:type="dcterms:W3CDTF">2020-12-27T18:40:00Z</dcterms:created>
  <dcterms:modified xsi:type="dcterms:W3CDTF">2025-08-20T14:50:00Z</dcterms:modified>
</cp:coreProperties>
</file>