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13986" w:rsidRPr="00826A92" w14:paraId="063E577D" w14:textId="77777777" w:rsidTr="00FE3DCF">
              <w:tc>
                <w:tcPr>
                  <w:tcW w:w="4536" w:type="dxa"/>
                </w:tcPr>
                <w:p w14:paraId="29E75BB0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2BB5276F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FB6A583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8 от «20» </w:t>
                  </w:r>
                  <w:proofErr w:type="gramStart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мая  2025</w:t>
                  </w:r>
                  <w:proofErr w:type="gramEnd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7CF88AC5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713986" w:rsidRPr="0073308A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</w:t>
                  </w:r>
                  <w:proofErr w:type="spellStart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713986" w:rsidRPr="0073308A" w:rsidRDefault="00713986" w:rsidP="0071398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F5142A0" w:rsidR="00447291" w:rsidRPr="00447291" w:rsidRDefault="00E77AF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32195280" w14:textId="58D546F4" w:rsidR="008E21BD" w:rsidRPr="00E84C87" w:rsidRDefault="00003AC8" w:rsidP="00E84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C87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  <w:bookmarkStart w:id="0" w:name="_GoBack"/>
      <w:bookmarkEnd w:id="0"/>
    </w:p>
    <w:p w14:paraId="107ED4AA" w14:textId="77777777" w:rsidR="008E21BD" w:rsidRPr="00C12C5A" w:rsidRDefault="008E21BD" w:rsidP="008E21B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248219" w14:textId="6592216D" w:rsidR="00774531" w:rsidRPr="00774531" w:rsidRDefault="00774531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4FA6E05F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9512A">
        <w:rPr>
          <w:rFonts w:ascii="Times New Roman" w:eastAsia="Calibri" w:hAnsi="Times New Roman" w:cs="Times New Roman"/>
          <w:sz w:val="28"/>
          <w:szCs w:val="28"/>
        </w:rPr>
        <w:t>Осипян А.Ю.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6B75FEBD" w:rsidR="00AC2AF0" w:rsidRPr="001567B2" w:rsidRDefault="00E77AF8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62F099E4" w:rsidR="00AC2AF0" w:rsidRPr="001567B2" w:rsidRDefault="00E77AF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92F20">
        <w:rPr>
          <w:rFonts w:ascii="Times New Roman" w:eastAsia="Times New Roman" w:hAnsi="Times New Roman" w:cs="Times New Roman"/>
          <w:sz w:val="28"/>
          <w:szCs w:val="28"/>
        </w:rPr>
        <w:t xml:space="preserve">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39A75BBF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0D0A7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Основные понятия </w:t>
      </w:r>
      <w:proofErr w:type="gramStart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компьютера</w:t>
      </w:r>
      <w:proofErr w:type="gramEnd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E84C87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7-е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lastRenderedPageBreak/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D0A75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12A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66B96"/>
    <w:rsid w:val="004873ED"/>
    <w:rsid w:val="004E32CA"/>
    <w:rsid w:val="00543C1E"/>
    <w:rsid w:val="005476E0"/>
    <w:rsid w:val="00554D3E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13986"/>
    <w:rsid w:val="0073308A"/>
    <w:rsid w:val="00774531"/>
    <w:rsid w:val="00775760"/>
    <w:rsid w:val="007821F9"/>
    <w:rsid w:val="007B30F6"/>
    <w:rsid w:val="007D5640"/>
    <w:rsid w:val="008357E4"/>
    <w:rsid w:val="0084586E"/>
    <w:rsid w:val="0088480F"/>
    <w:rsid w:val="008A0A47"/>
    <w:rsid w:val="008A44AE"/>
    <w:rsid w:val="008B791D"/>
    <w:rsid w:val="008C368E"/>
    <w:rsid w:val="008E21BD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10245"/>
    <w:rsid w:val="00D2513B"/>
    <w:rsid w:val="00D971A3"/>
    <w:rsid w:val="00DA27CF"/>
    <w:rsid w:val="00DB16E8"/>
    <w:rsid w:val="00E1290A"/>
    <w:rsid w:val="00E211C0"/>
    <w:rsid w:val="00E77AF8"/>
    <w:rsid w:val="00E81E1A"/>
    <w:rsid w:val="00E84C87"/>
    <w:rsid w:val="00ED5BC4"/>
    <w:rsid w:val="00EE3475"/>
    <w:rsid w:val="00F00FF2"/>
    <w:rsid w:val="00F147C6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CA24-2D5C-4906-BEA5-9DF5161C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Ася Кот</cp:lastModifiedBy>
  <cp:revision>30</cp:revision>
  <dcterms:created xsi:type="dcterms:W3CDTF">2024-03-07T08:47:00Z</dcterms:created>
  <dcterms:modified xsi:type="dcterms:W3CDTF">2025-08-11T16:41:00Z</dcterms:modified>
</cp:coreProperties>
</file>