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063E577D" w14:textId="77777777" w:rsidTr="00FE3DCF">
              <w:tc>
                <w:tcPr>
                  <w:tcW w:w="4536" w:type="dxa"/>
                </w:tcPr>
                <w:p w14:paraId="4B71224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E3BDFFE" w14:textId="093EE99F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Информационных систем и программирования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»</w:t>
                  </w:r>
                </w:p>
                <w:p w14:paraId="6A0CFEF1" w14:textId="53C76DA5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10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15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B95521">
                    <w:rPr>
                      <w:rFonts w:ascii="Times New Roman" w:eastAsia="Calibri" w:hAnsi="Times New Roman" w:cs="Times New Roman"/>
                      <w:lang w:eastAsia="en-US"/>
                    </w:rPr>
                    <w:t>мая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F9D646E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F00FF2" w:rsidRPr="0073308A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F00FF2" w:rsidRPr="0073308A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F00FF2" w:rsidRPr="0073308A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BB35FA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5D82C1" w14:textId="77777777" w:rsidR="002E5F92" w:rsidRDefault="002E5F9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СЕДСТВ</w:t>
      </w:r>
    </w:p>
    <w:p w14:paraId="45FF2A4D" w14:textId="5AB39B66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15CEACEB" w14:textId="77777777" w:rsidR="002E5F92" w:rsidRPr="00E825B8" w:rsidRDefault="00003AC8" w:rsidP="002E5F92">
      <w:pPr>
        <w:tabs>
          <w:tab w:val="left" w:pos="6631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92" w:rsidRPr="00E825B8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14:paraId="25CC4236" w14:textId="34CC74C9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037D12" w14:textId="77777777"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8E1E2BA" w14:textId="3D8092F8" w:rsid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524E6CE9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2E5F92">
        <w:rPr>
          <w:rFonts w:ascii="Times New Roman" w:eastAsia="Calibri" w:hAnsi="Times New Roman" w:cs="Times New Roman"/>
          <w:sz w:val="28"/>
          <w:szCs w:val="28"/>
        </w:rPr>
        <w:t>Погрибнякова</w:t>
      </w:r>
      <w:r w:rsidR="00B955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F92">
        <w:rPr>
          <w:rFonts w:ascii="Times New Roman" w:eastAsia="Calibri" w:hAnsi="Times New Roman" w:cs="Times New Roman"/>
          <w:sz w:val="28"/>
          <w:szCs w:val="28"/>
        </w:rPr>
        <w:t>Ю</w:t>
      </w:r>
      <w:r w:rsidR="00B95521">
        <w:rPr>
          <w:rFonts w:ascii="Times New Roman" w:eastAsia="Calibri" w:hAnsi="Times New Roman" w:cs="Times New Roman"/>
          <w:sz w:val="28"/>
          <w:szCs w:val="28"/>
        </w:rPr>
        <w:t>.</w:t>
      </w:r>
      <w:r w:rsidR="002E5F92">
        <w:rPr>
          <w:rFonts w:ascii="Times New Roman" w:eastAsia="Calibri" w:hAnsi="Times New Roman" w:cs="Times New Roman"/>
          <w:sz w:val="28"/>
          <w:szCs w:val="28"/>
        </w:rPr>
        <w:t>Н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4D0569A4" w:rsidR="00AC2AF0" w:rsidRPr="001567B2" w:rsidRDefault="002E5F92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 оценочны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2FCC99E3" w:rsidR="00AC2AF0" w:rsidRPr="001567B2" w:rsidRDefault="002E5F92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77777777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4716F691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B9635A">
        <w:rPr>
          <w:rFonts w:ascii="Times New Roman" w:hAnsi="Times New Roman"/>
          <w:sz w:val="28"/>
          <w:szCs w:val="28"/>
        </w:rPr>
        <w:t>5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60DCA08E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B9635A">
        <w:rPr>
          <w:rFonts w:ascii="Times New Roman" w:hAnsi="Times New Roman"/>
          <w:sz w:val="28"/>
          <w:szCs w:val="28"/>
        </w:rPr>
        <w:t xml:space="preserve">Экран </w:t>
      </w:r>
      <w:r w:rsidRPr="0084586E">
        <w:rPr>
          <w:rFonts w:ascii="Times New Roman" w:hAnsi="Times New Roman"/>
          <w:sz w:val="28"/>
          <w:szCs w:val="28"/>
        </w:rPr>
        <w:t>(</w:t>
      </w:r>
      <w:r w:rsidR="00B9635A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0E779849" w14:textId="0D0682CB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A86105">
        <w:rPr>
          <w:rFonts w:ascii="Times New Roman" w:hAnsi="Times New Roman"/>
          <w:sz w:val="28"/>
          <w:szCs w:val="28"/>
        </w:rPr>
        <w:t>Проектор</w:t>
      </w:r>
      <w:r w:rsidRPr="0084586E">
        <w:rPr>
          <w:rFonts w:ascii="Times New Roman" w:hAnsi="Times New Roman"/>
          <w:sz w:val="28"/>
          <w:szCs w:val="28"/>
        </w:rPr>
        <w:t xml:space="preserve"> (</w:t>
      </w:r>
      <w:r w:rsidR="00190CEF">
        <w:rPr>
          <w:rFonts w:ascii="Times New Roman" w:hAnsi="Times New Roman"/>
          <w:sz w:val="28"/>
          <w:szCs w:val="28"/>
        </w:rPr>
        <w:t>1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2E5F92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="009E520A"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="009E520A"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E5F92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873ED"/>
    <w:rsid w:val="004E32CA"/>
    <w:rsid w:val="00543C1E"/>
    <w:rsid w:val="005476E0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3308A"/>
    <w:rsid w:val="00775760"/>
    <w:rsid w:val="007821F9"/>
    <w:rsid w:val="007B30F6"/>
    <w:rsid w:val="007D5640"/>
    <w:rsid w:val="008357E4"/>
    <w:rsid w:val="0084586E"/>
    <w:rsid w:val="008A0A47"/>
    <w:rsid w:val="008A44AE"/>
    <w:rsid w:val="008B791D"/>
    <w:rsid w:val="008C368E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2513B"/>
    <w:rsid w:val="00D971A3"/>
    <w:rsid w:val="00DA27CF"/>
    <w:rsid w:val="00DB16E8"/>
    <w:rsid w:val="00E1290A"/>
    <w:rsid w:val="00E211C0"/>
    <w:rsid w:val="00E81E1A"/>
    <w:rsid w:val="00ED5BC4"/>
    <w:rsid w:val="00EE3475"/>
    <w:rsid w:val="00F00FF2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132-AAD1-425C-A80E-392A3D976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Юлия</cp:lastModifiedBy>
  <cp:revision>21</cp:revision>
  <dcterms:created xsi:type="dcterms:W3CDTF">2024-03-07T08:47:00Z</dcterms:created>
  <dcterms:modified xsi:type="dcterms:W3CDTF">2025-05-11T14:04:00Z</dcterms:modified>
</cp:coreProperties>
</file>