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994" w:rsidRPr="003C1994" w:rsidRDefault="003C1994" w:rsidP="003C19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C1994">
        <w:rPr>
          <w:rFonts w:ascii="Times New Roman" w:hAnsi="Times New Roman" w:cs="Times New Roman"/>
          <w:b/>
          <w:i/>
          <w:sz w:val="28"/>
          <w:szCs w:val="28"/>
        </w:rPr>
        <w:t>Фонд оценочных средств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1. Правовые основы огневой подготовки.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2. Правовые основы применения и использования огнестрельного оружия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сотрудниками ОВД.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3. Меры безопасности при обращении с огнестрельным оружием и боеприпасами.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4. Внутренняя баллистика. Выстрел и его периоды.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5. Давление в стволе и скорость пули при выстреле.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6. Начальная скорость пули и от чего она зависит.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7. Отдача оружия и угол вылета.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8. Прочность ствола, живучесть ствола, режим огня.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9. Действие пороховых газов на ствол и меры по его сбережению.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10. Использование энергии пороховых газов в автоматическом оружии.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11. Внешняя баллистика, траектория, ее свойства и действию каких сил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подвергается пуля в полете.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12. Элементы траектории.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13. Прямой выстрел.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14. Явление деривации.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15. Явление рассеивания.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16. Закон рассеивания.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17. Причины рассеивания.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18. Определение средней точки попадания.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19. Назначение, устройство, боевые свойства, весовые и линейные характеристики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ПМ.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20. Неполная разборка и сборка ПМ после неполной разборки.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21. Содержание и выполнение нормативов 2, 3, 4 ПМ.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22. Полная разборка и сборка ПМ после полной разборки.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23. Чистка и смазка ПМ.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lastRenderedPageBreak/>
        <w:t>26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24. Устройство частей и механизмов ПМ и их назначение.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25. Устройство патрона и принадлежностей к ПМ и их назначение.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26. Положение частей и механизмов ПМ до заряжания.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27. Работа частей и механизмов ПМ при выстреле.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28. Причины и способы устранения задержек при стрельбе из ПМ.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29. Осмотр пистолета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30. Назначение, устройство, тактико-технические характеристики и боевые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свойства АКМ.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31. Разборка и сборка АКМ.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32. Содержание и выполнение нормативов 8, 9, 10 АКМ.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33. Причины и способы устранения задержек при стрельбе из АКМ.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34. Уход за автоматом, его хранение и сбережение.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35. Чистка и смазка автомата.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36. Осмотр автомата, боевых патронов и подготовка его к стрельбе.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37. Устройство частей и механизмов АКМ и их назначение.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 xml:space="preserve">38. Устройство магазина, </w:t>
      </w:r>
      <w:proofErr w:type="gramStart"/>
      <w:r w:rsidRPr="003C1994">
        <w:rPr>
          <w:rFonts w:ascii="Times New Roman" w:hAnsi="Times New Roman" w:cs="Times New Roman"/>
          <w:sz w:val="28"/>
          <w:szCs w:val="28"/>
        </w:rPr>
        <w:t>штык-ножа</w:t>
      </w:r>
      <w:proofErr w:type="gramEnd"/>
      <w:r w:rsidRPr="003C1994">
        <w:rPr>
          <w:rFonts w:ascii="Times New Roman" w:hAnsi="Times New Roman" w:cs="Times New Roman"/>
          <w:sz w:val="28"/>
          <w:szCs w:val="28"/>
        </w:rPr>
        <w:t xml:space="preserve"> и принадлежностей к автомату и их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назначение.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39. Работа частей и механизмов АК при стрельбе одиночным огнем.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40. Работа частей и механизмов АК при стрельбе очередями.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41. Назначение, устройство, тактико-технические характеристики и боевые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свойства СВД.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42. Назначение основных частей механизмов СВД.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43. Разборка и сборка СВД.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44. Причины и способы устранения задержек при стрельбе из СВД.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45. Назначение, устройство, боевые свойства РГД-5.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46. Назначение, устройство и боевые свойства Ф-1.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lastRenderedPageBreak/>
        <w:t>47. Назначение, устройство и боевые свойства РГН.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48. Назначение, устройство и боевые свойства РГО.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49. Назначение, устройство и работа УЗРГМ.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50. Назначение, устройство и работа УДЗ.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51. Назначение ТТХ, устройство, и работа противотанкового гранатомета РПГ –7.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 xml:space="preserve">52. Назначение, устройство, и принцип кумулятивного действия выстрела ПГ-7В </w:t>
      </w:r>
      <w:proofErr w:type="gramStart"/>
      <w:r w:rsidRPr="003C1994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гранатомету РПГ –7.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53. Организация и проведение стрельб.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54. Оценка огневой подготовки.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27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55. Назначение, боевые свойства, тактико-технические характеристики пистолетов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– пулеметов.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 xml:space="preserve">56. Устройство и принцип работы пистолетов – пулеметов, состоящих </w:t>
      </w:r>
      <w:proofErr w:type="gramStart"/>
      <w:r w:rsidRPr="003C199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1994">
        <w:rPr>
          <w:rFonts w:ascii="Times New Roman" w:hAnsi="Times New Roman" w:cs="Times New Roman"/>
          <w:sz w:val="28"/>
          <w:szCs w:val="28"/>
        </w:rPr>
        <w:t>вооружении</w:t>
      </w:r>
      <w:proofErr w:type="gramEnd"/>
      <w:r w:rsidRPr="003C1994">
        <w:rPr>
          <w:rFonts w:ascii="Times New Roman" w:hAnsi="Times New Roman" w:cs="Times New Roman"/>
          <w:sz w:val="28"/>
          <w:szCs w:val="28"/>
        </w:rPr>
        <w:t xml:space="preserve"> в ОВД.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57. Требования приказов МВД России по учету, хранению, и сбережению оружия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и боеприпасов.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58. Основания и порядок выдачи оружия и боеприпасов.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 xml:space="preserve">59. Основание и порядок выдачи и приема оружия и боеприпасов </w:t>
      </w:r>
      <w:proofErr w:type="gramStart"/>
      <w:r w:rsidRPr="003C199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C1994">
        <w:rPr>
          <w:rFonts w:ascii="Times New Roman" w:hAnsi="Times New Roman" w:cs="Times New Roman"/>
          <w:sz w:val="28"/>
          <w:szCs w:val="28"/>
        </w:rPr>
        <w:t xml:space="preserve"> постоянного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ношения.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60. Транспортировка оружия и боеприпасов.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61. Порядок получения, закрепления, учета и хранения оружия в ОВД.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 xml:space="preserve">62. Порядок учета и расхода боеприпасов на </w:t>
      </w:r>
      <w:proofErr w:type="gramStart"/>
      <w:r w:rsidRPr="003C1994">
        <w:rPr>
          <w:rFonts w:ascii="Times New Roman" w:hAnsi="Times New Roman" w:cs="Times New Roman"/>
          <w:sz w:val="28"/>
          <w:szCs w:val="28"/>
        </w:rPr>
        <w:t>учебную</w:t>
      </w:r>
      <w:proofErr w:type="gramEnd"/>
      <w:r w:rsidRPr="003C1994">
        <w:rPr>
          <w:rFonts w:ascii="Times New Roman" w:hAnsi="Times New Roman" w:cs="Times New Roman"/>
          <w:sz w:val="28"/>
          <w:szCs w:val="28"/>
        </w:rPr>
        <w:t xml:space="preserve"> и оперативно-служебную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практику.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lastRenderedPageBreak/>
        <w:t>63. Гражданское оружие.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64. Практическая стрельба из ПМ по условиям упражнений № 1, 2.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65. Практическая стрельба из АКМ по условиям упражнений № 1, 2.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66. Сущность процесса обучения владению огнестрельным оружием.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67. Основные педагогические принципы и методы обучения огневой подготовке.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>68. Формы обучения огневой подготовке.</w:t>
      </w:r>
    </w:p>
    <w:p w:rsidR="003C1994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 xml:space="preserve">69. Основы организации и методики проведения практических занятий </w:t>
      </w:r>
      <w:proofErr w:type="gramStart"/>
      <w:r w:rsidRPr="003C199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C1994">
        <w:rPr>
          <w:rFonts w:ascii="Times New Roman" w:hAnsi="Times New Roman" w:cs="Times New Roman"/>
          <w:sz w:val="28"/>
          <w:szCs w:val="28"/>
        </w:rPr>
        <w:t xml:space="preserve"> огневой</w:t>
      </w:r>
    </w:p>
    <w:p w:rsidR="0060308C" w:rsidRPr="003C1994" w:rsidRDefault="003C1994" w:rsidP="003C1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994">
        <w:rPr>
          <w:rFonts w:ascii="Times New Roman" w:hAnsi="Times New Roman" w:cs="Times New Roman"/>
          <w:sz w:val="28"/>
          <w:szCs w:val="28"/>
        </w:rPr>
        <w:t xml:space="preserve">подготовке. </w:t>
      </w:r>
      <w:r w:rsidRPr="003C1994">
        <w:rPr>
          <w:rFonts w:ascii="Times New Roman" w:hAnsi="Times New Roman" w:cs="Times New Roman"/>
          <w:sz w:val="28"/>
          <w:szCs w:val="28"/>
        </w:rPr>
        <w:cr/>
      </w:r>
      <w:bookmarkStart w:id="0" w:name="_GoBack"/>
      <w:bookmarkEnd w:id="0"/>
    </w:p>
    <w:sectPr w:rsidR="0060308C" w:rsidRPr="003C1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0F"/>
    <w:rsid w:val="003C1994"/>
    <w:rsid w:val="0060308C"/>
    <w:rsid w:val="00B6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2025-04-24T19:09:00Z</dcterms:created>
  <dcterms:modified xsi:type="dcterms:W3CDTF">2025-04-24T19:10:00Z</dcterms:modified>
</cp:coreProperties>
</file>