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7"/>
        <w:gridCol w:w="4683"/>
      </w:tblGrid>
      <w:tr w:rsidR="00072B4B" w:rsidTr="00072B4B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072B4B" w:rsidRPr="00BA108E" w:rsidRDefault="00E14A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08E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BA108E" w:rsidRPr="00BA108E">
              <w:rPr>
                <w:rFonts w:ascii="Times New Roman" w:hAnsi="Times New Roman"/>
                <w:sz w:val="24"/>
                <w:szCs w:val="24"/>
              </w:rPr>
              <w:t>8</w:t>
            </w:r>
            <w:r w:rsidRPr="00BA108E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="00B671ED" w:rsidRPr="00BA108E">
              <w:rPr>
                <w:rFonts w:ascii="Times New Roman" w:hAnsi="Times New Roman"/>
                <w:sz w:val="24"/>
                <w:szCs w:val="24"/>
              </w:rPr>
              <w:t>20</w:t>
            </w:r>
            <w:r w:rsidRPr="00BA108E">
              <w:rPr>
                <w:rFonts w:ascii="Times New Roman" w:hAnsi="Times New Roman"/>
                <w:sz w:val="24"/>
                <w:szCs w:val="24"/>
              </w:rPr>
              <w:t>»</w:t>
            </w:r>
            <w:r w:rsidR="00B671ED" w:rsidRPr="00BA108E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  <w:r w:rsidRPr="00BA1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34FF" w:rsidRPr="00BA108E">
              <w:rPr>
                <w:rFonts w:ascii="Times New Roman" w:hAnsi="Times New Roman"/>
                <w:sz w:val="24"/>
                <w:szCs w:val="24"/>
              </w:rPr>
              <w:t>2025</w:t>
            </w:r>
            <w:r w:rsidR="00072B4B" w:rsidRPr="00BA108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</w:t>
            </w:r>
            <w:r w:rsidR="000F34FF">
              <w:rPr>
                <w:rFonts w:ascii="Times New Roman" w:hAnsi="Times New Roman"/>
                <w:sz w:val="24"/>
                <w:szCs w:val="24"/>
              </w:rPr>
              <w:t>____________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432976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  <w:bookmarkStart w:id="0" w:name="_GoBack"/>
      <w:bookmarkEnd w:id="0"/>
      <w:r w:rsidR="00072B4B">
        <w:rPr>
          <w:rFonts w:ascii="Times New Roman" w:hAnsi="Times New Roman"/>
          <w:b/>
          <w:bCs/>
          <w:sz w:val="28"/>
          <w:szCs w:val="28"/>
        </w:rPr>
        <w:t xml:space="preserve"> К ПРОМЕЖУТОЧНОЙ АТТЕСТАЦИИ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</w:t>
      </w:r>
      <w:r w:rsidR="00E14A4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</w:t>
      </w:r>
      <w:r w:rsidR="00E14A47">
        <w:rPr>
          <w:rFonts w:ascii="Times New Roman" w:hAnsi="Times New Roman"/>
          <w:sz w:val="28"/>
          <w:szCs w:val="28"/>
        </w:rPr>
        <w:t>Страхование</w:t>
      </w:r>
      <w:r>
        <w:rPr>
          <w:rFonts w:ascii="Times New Roman" w:hAnsi="Times New Roman"/>
          <w:sz w:val="28"/>
          <w:szCs w:val="28"/>
        </w:rPr>
        <w:t>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E14A47">
        <w:rPr>
          <w:rFonts w:ascii="Times New Roman" w:hAnsi="Times New Roman"/>
          <w:sz w:val="28"/>
          <w:szCs w:val="28"/>
        </w:rPr>
        <w:t>ля студентов по специальности 38.02.07 Банковское дело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Прохорова О.В.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432976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pict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0F34FF">
        <w:rPr>
          <w:rFonts w:ascii="Times New Roman" w:hAnsi="Times New Roman"/>
          <w:sz w:val="28"/>
          <w:szCs w:val="28"/>
        </w:rPr>
        <w:t>Ставрополь, 2025</w:t>
      </w:r>
    </w:p>
    <w:p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14A47" w:rsidRDefault="00976E2E" w:rsidP="00E14A47">
      <w:pPr>
        <w:keepNext/>
        <w:keepLines/>
        <w:suppressLineNumbers/>
        <w:suppressAutoHyphens/>
        <w:spacing w:after="0" w:line="240" w:lineRule="auto"/>
        <w:jc w:val="both"/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3C1D9A" w:rsidRPr="00E14A47" w:rsidRDefault="003C1D9A" w:rsidP="00E14A4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4037"/>
        <w:gridCol w:w="3618"/>
      </w:tblGrid>
      <w:tr w:rsidR="00E14A47" w:rsidRPr="003C1D9A" w:rsidTr="00D93F89">
        <w:trPr>
          <w:trHeight w:val="649"/>
        </w:trPr>
        <w:tc>
          <w:tcPr>
            <w:tcW w:w="1001" w:type="pct"/>
            <w:hideMark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3C1D9A">
              <w:rPr>
                <w:rFonts w:ascii="Times New Roman" w:hAnsi="Times New Roman"/>
                <w:b/>
              </w:rPr>
              <w:t>Код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C1D9A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2109" w:type="pct"/>
            <w:hideMark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3C1D9A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1890" w:type="pct"/>
            <w:hideMark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3C1D9A">
              <w:rPr>
                <w:rFonts w:ascii="Times New Roman" w:hAnsi="Times New Roman"/>
                <w:b/>
              </w:rPr>
              <w:t>Знания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ОК 01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распознавать задачу и/или проблему в профессиональном и/или социальном контексте;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анализировать задачу и/или проблему и выделять её составные части;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этапы решения задачи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выявлять и эффективно искать информацию, необходимую для решения задачи и/или проблемы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составлять план действия;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необходимые ресурсы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владеть актуальными методами работы в профессиональной и смежных сферах;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реализовывать составленный план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актуальный профессиональный и социальный контекст, в котором приходится работать и жить;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алгоритмы выполнения работ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в профессиональной и смежных областях методы работы в профессиональной и смежных сферах;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структуру плана для решения задач порядок оценки результатов решения задач профессиональной деятельности</w:t>
            </w:r>
          </w:p>
        </w:tc>
      </w:tr>
      <w:tr w:rsidR="00E14A47" w:rsidRPr="003C1D9A" w:rsidTr="00D93F89">
        <w:trPr>
          <w:trHeight w:val="98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ОК 02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определять задачи для поиска информации;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необходимые источники информации;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планировать процесс поиска;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структурировать получаемую информацию;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выделять наиболее значимое в перечне информации;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оценивать практическую значимость </w:t>
            </w:r>
            <w:r w:rsidRPr="003C1D9A">
              <w:rPr>
                <w:rFonts w:ascii="Times New Roman" w:hAnsi="Times New Roman"/>
                <w:iCs/>
                <w:spacing w:val="-6"/>
              </w:rPr>
              <w:lastRenderedPageBreak/>
              <w:t>результатов поиска;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использовать современное программное обеспечение;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приемы структурирования информации;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формат оформления результатов поиска информации,  современные средства и устройства информатизации;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порядок их применения и программное обеспечение в </w:t>
            </w:r>
            <w:r w:rsidRPr="003C1D9A">
              <w:rPr>
                <w:rFonts w:ascii="Times New Roman" w:hAnsi="Times New Roman"/>
                <w:iCs/>
              </w:rPr>
              <w:lastRenderedPageBreak/>
              <w:t>профессиональной деятельности в том числе с использованием цифровых средств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lastRenderedPageBreak/>
              <w:t>ОК 03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применять современную научную профессиональную терминологию;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и выстраивать траектории профессионального развития и самообразования;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выявлять достоинства и недостатки коммерческой идеи;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презентовать идеи открытия собственного дела в профессиональной деятельности;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оформлять бизнес-план;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рассчитывать размеры выплат по процентным ставкам кредитования;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презентовать бизнес-идею;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источники финансирования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содержание актуальной нормативно-правовой документации;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современная научная и профессиональная терминология;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возможные траектории профессионального развития и самообразования;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основы предпринимательской деятельности;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основы финансовой грамотности;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правила разработки бизнес-планов;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порядок выстраивания презентации;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кредитные банковские продукты</w:t>
            </w:r>
          </w:p>
        </w:tc>
      </w:tr>
      <w:tr w:rsidR="00E14A47" w:rsidRPr="003C1D9A" w:rsidTr="00D93F89">
        <w:trPr>
          <w:trHeight w:val="1425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ОК 04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организовывать работу коллектива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и команды;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основы проектной деятельности</w:t>
            </w:r>
          </w:p>
        </w:tc>
      </w:tr>
      <w:tr w:rsidR="00E14A47" w:rsidRPr="003C1D9A" w:rsidTr="00D93F89">
        <w:trPr>
          <w:trHeight w:val="140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lastRenderedPageBreak/>
              <w:t>ОК 05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грамотно излагать свои мысли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особенности социального и культурного контекста;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правила оформления документов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и построения устных сообщений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ОК 09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участвовать в диалогах на знакомые общие и профессиональные темы;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строить простые высказывания о себе и о своей профессиональной деятельности;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кратко обосновывать и объяснять свои действия (текущие и планируемые);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правила построения простых и сложных предложений на профессиональные темы;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основные общеупотребительные глаголы (бытовая и профессиональная лексика);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особенности произношения;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правила чтения текстов профессиональной направленности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ПК 2.1</w:t>
            </w: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оценивать качество обеспечения и кредитные риски по потребительским кредитам;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проверять полноту и подлинность документов заемщика для получения кредитов;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проверять качество и достаточность обеспечения возвратности кредита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нормативные правовые акты, регулирующие осуществление кредитных операций и обеспечение кредитных обязательств;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законодательство Российской Федерации о персональных данных;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</w:rPr>
              <w:t>законодательство Российской Федерации о защите прав потребителей, в том числе потребителей финансовых услуг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ПК 2.2</w:t>
            </w: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оформлять пакет документов для заключения договора о залоге;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составлять график платежей по кредиту и процентам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содержание кредитного договора, порядок его заключения, изменения </w:t>
            </w:r>
            <w:r w:rsidRPr="003C1D9A">
              <w:rPr>
                <w:rFonts w:ascii="Times New Roman" w:hAnsi="Times New Roman"/>
                <w:iCs/>
              </w:rPr>
              <w:lastRenderedPageBreak/>
              <w:t>условий и расторжения;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типичные нарушения при осуществлении кредитных операций</w:t>
            </w:r>
          </w:p>
        </w:tc>
      </w:tr>
    </w:tbl>
    <w:p w:rsidR="00E14A47" w:rsidRPr="003C1D9A" w:rsidRDefault="00E14A47" w:rsidP="00E14A47">
      <w:pPr>
        <w:jc w:val="center"/>
        <w:rPr>
          <w:rFonts w:ascii="Times New Roman" w:hAnsi="Times New Roman"/>
          <w:b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6F1CAC" w:rsidRPr="00351DD2" w:rsidRDefault="006F1CAC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58FC" w:rsidRPr="006F1CAC" w:rsidRDefault="00976E2E" w:rsidP="00B658F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>1. Место (время) выполнения задания:</w:t>
      </w:r>
      <w:r w:rsidR="0033309F" w:rsidRPr="006F1CAC">
        <w:rPr>
          <w:rFonts w:ascii="Times New Roman" w:hAnsi="Times New Roman"/>
          <w:sz w:val="28"/>
          <w:szCs w:val="28"/>
        </w:rPr>
        <w:t xml:space="preserve"> аудитория</w:t>
      </w:r>
      <w:r w:rsidR="00631C89" w:rsidRPr="006F1CAC">
        <w:rPr>
          <w:rFonts w:ascii="Times New Roman" w:hAnsi="Times New Roman"/>
          <w:sz w:val="28"/>
          <w:szCs w:val="28"/>
        </w:rPr>
        <w:t xml:space="preserve"> </w:t>
      </w:r>
      <w:r w:rsidR="003C1D9A" w:rsidRPr="006F1CAC">
        <w:rPr>
          <w:rFonts w:ascii="Times New Roman" w:hAnsi="Times New Roman"/>
          <w:sz w:val="28"/>
          <w:szCs w:val="28"/>
        </w:rPr>
        <w:t>Л 406</w:t>
      </w:r>
      <w:r w:rsidR="003C1D9A" w:rsidRPr="006F1CAC">
        <w:rPr>
          <w:rFonts w:ascii="Times New Roman" w:eastAsia="Times New Roman" w:hAnsi="Times New Roman"/>
          <w:sz w:val="28"/>
          <w:szCs w:val="28"/>
        </w:rPr>
        <w:t>.</w:t>
      </w:r>
    </w:p>
    <w:p w:rsidR="00976E2E" w:rsidRPr="006F1CAC" w:rsidRDefault="00976E2E" w:rsidP="00B658F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33309F" w:rsidRPr="006F1CAC">
        <w:rPr>
          <w:rFonts w:ascii="Times New Roman" w:hAnsi="Times New Roman"/>
          <w:sz w:val="28"/>
          <w:szCs w:val="28"/>
        </w:rPr>
        <w:t>20</w:t>
      </w:r>
      <w:r w:rsidRPr="006F1CAC">
        <w:rPr>
          <w:rFonts w:ascii="Times New Roman" w:hAnsi="Times New Roman"/>
          <w:sz w:val="28"/>
          <w:szCs w:val="28"/>
        </w:rPr>
        <w:t xml:space="preserve"> мин</w:t>
      </w:r>
    </w:p>
    <w:p w:rsidR="00976E2E" w:rsidRPr="006F1CAC" w:rsidRDefault="00976E2E" w:rsidP="00DE35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 w:rsidRPr="006F1CAC">
        <w:rPr>
          <w:rFonts w:ascii="Times New Roman" w:hAnsi="Times New Roman"/>
          <w:sz w:val="28"/>
          <w:szCs w:val="28"/>
        </w:rPr>
        <w:t>зачете</w:t>
      </w:r>
      <w:r w:rsidRPr="006F1CAC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6F1CAC">
        <w:rPr>
          <w:rFonts w:ascii="Times New Roman" w:hAnsi="Times New Roman"/>
          <w:sz w:val="28"/>
          <w:szCs w:val="28"/>
        </w:rPr>
        <w:t>оборудование:канцелярские</w:t>
      </w:r>
      <w:proofErr w:type="spellEnd"/>
      <w:proofErr w:type="gramEnd"/>
      <w:r w:rsidRPr="006F1CAC">
        <w:rPr>
          <w:rFonts w:ascii="Times New Roman" w:hAnsi="Times New Roman"/>
          <w:sz w:val="28"/>
          <w:szCs w:val="28"/>
        </w:rPr>
        <w:t xml:space="preserve"> принадлежности (</w:t>
      </w:r>
      <w:proofErr w:type="spellStart"/>
      <w:r w:rsidRPr="006F1CAC">
        <w:rPr>
          <w:rFonts w:ascii="Times New Roman" w:hAnsi="Times New Roman"/>
          <w:sz w:val="28"/>
          <w:szCs w:val="28"/>
        </w:rPr>
        <w:t>ручка,карандаши</w:t>
      </w:r>
      <w:proofErr w:type="spellEnd"/>
      <w:r w:rsidRPr="006F1CAC">
        <w:rPr>
          <w:rFonts w:ascii="Times New Roman" w:hAnsi="Times New Roman"/>
          <w:sz w:val="28"/>
          <w:szCs w:val="28"/>
        </w:rPr>
        <w:t>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F1CAC">
        <w:rPr>
          <w:rFonts w:ascii="Times New Roman" w:eastAsia="Times New Roman" w:hAnsi="Times New Roman"/>
          <w:b/>
          <w:sz w:val="28"/>
          <w:szCs w:val="28"/>
        </w:rPr>
        <w:t xml:space="preserve">Вопросы к зачету 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Экономическая необходимость и роль страхования в условиях рыночной экономики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Особенности страхования как экономической категории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Функции страхования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Характеристика организации страхового процесса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Временные границы страхования и заключение договора страхования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Характеристика наступления страхового случая и его последствия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Установление объема страховой ответственности, цены страхового риска и страховой услуги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Показатели, отражающие количественные и качественные параметры страхования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Сущность классификации страховых отношений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Всеобщая классификация страховых отношений в РФ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Частичная классификация по имущественному страхованию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 xml:space="preserve">Классификация, предусмотренная нормативными документами по страхованию. 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Формы проведения страхования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>Организационные основы страховой деятельности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>Финансовые основы страховой деятельности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lastRenderedPageBreak/>
        <w:t>Характеристика инвестиционной деятельности страховщиков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жизни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от несчастных случаев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Обязательно медицинское страхование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Добровольное медицинское страхование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Имущественное страхование: общие принципы и подходы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имущества от огня и иных опасностей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Страхования домашнего имущества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грузоперевозок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Понятие и особенности гражданской ответственности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ответственности владельцев транспортных средств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профессиональной ответственности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Участники и формы перестрахования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Юридические основы перестрахования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Техника перестрахования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Пропорциональное перестрахование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Непропорциональное перестрахование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Страховой рынок, его структура и участники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Основные формы организации страховых компаний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Функции и задачи страховых посредников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Государственное регулирование функционирования страхового рынка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 xml:space="preserve"> Страхование инвестиций от политических рисков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Страхование экспортных кредитов</w:t>
      </w:r>
    </w:p>
    <w:p w:rsid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F1CAC">
        <w:rPr>
          <w:rFonts w:ascii="Times New Roman" w:hAnsi="Times New Roman"/>
          <w:iCs/>
          <w:color w:val="000000"/>
          <w:sz w:val="28"/>
          <w:szCs w:val="28"/>
        </w:rPr>
        <w:t>Правовая база для проведения страховых операций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Страхование в банковской сфере</w:t>
      </w:r>
    </w:p>
    <w:p w:rsidR="006F1CAC" w:rsidRPr="006F1CAC" w:rsidRDefault="006F1CAC" w:rsidP="006F1CAC">
      <w:pPr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6F1CAC" w:rsidRDefault="006F1CAC" w:rsidP="006F1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«Зачтено</w:t>
      </w:r>
      <w:r w:rsidR="00B658FC" w:rsidRPr="00B658FC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:</w:t>
      </w:r>
      <w:r w:rsidR="00B658FC"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 w:rsidR="00B658FC">
        <w:rPr>
          <w:rFonts w:ascii="Times New Roman" w:hAnsi="Times New Roman"/>
          <w:sz w:val="28"/>
          <w:szCs w:val="28"/>
        </w:rPr>
        <w:t>обучающимся</w:t>
      </w:r>
      <w:r w:rsidR="00B658FC"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 w:rsidR="00B658FC">
        <w:rPr>
          <w:rFonts w:ascii="Times New Roman" w:hAnsi="Times New Roman"/>
          <w:sz w:val="28"/>
          <w:szCs w:val="28"/>
        </w:rPr>
        <w:t>обучающийся</w:t>
      </w:r>
      <w:r w:rsidR="00B658FC"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</w:t>
      </w:r>
      <w:proofErr w:type="spellStart"/>
      <w:r w:rsidR="00B658FC" w:rsidRPr="00CE0DC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="00B658FC" w:rsidRPr="00CE0DCF">
        <w:rPr>
          <w:rFonts w:ascii="Times New Roman" w:hAnsi="Times New Roman"/>
          <w:sz w:val="28"/>
          <w:szCs w:val="28"/>
        </w:rPr>
        <w:t xml:space="preserve"> общих и профессиональных компетенций; </w:t>
      </w:r>
    </w:p>
    <w:p w:rsidR="00B658FC" w:rsidRPr="00CE0DCF" w:rsidRDefault="00B658FC" w:rsidP="006F1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C89">
        <w:rPr>
          <w:rFonts w:ascii="Times New Roman" w:hAnsi="Times New Roman"/>
          <w:sz w:val="28"/>
          <w:szCs w:val="28"/>
        </w:rPr>
        <w:t>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</w:t>
      </w:r>
      <w:r w:rsidR="006F1CAC">
        <w:rPr>
          <w:rFonts w:ascii="Times New Roman" w:hAnsi="Times New Roman"/>
          <w:sz w:val="28"/>
          <w:szCs w:val="28"/>
        </w:rPr>
        <w:t>твета имеют отельные неточности.</w:t>
      </w:r>
    </w:p>
    <w:p w:rsidR="00B658FC" w:rsidRPr="00CE0DCF" w:rsidRDefault="006F1CA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«Не зачтено</w:t>
      </w:r>
      <w:r w:rsidR="00B658FC" w:rsidRPr="00B658FC">
        <w:rPr>
          <w:rFonts w:ascii="Times New Roman" w:hAnsi="Times New Roman"/>
          <w:b/>
          <w:sz w:val="28"/>
          <w:szCs w:val="28"/>
        </w:rPr>
        <w:t xml:space="preserve">» </w:t>
      </w:r>
      <w:r w:rsidR="00B658FC" w:rsidRPr="00CE0DCF">
        <w:rPr>
          <w:rFonts w:ascii="Times New Roman" w:hAnsi="Times New Roman"/>
          <w:sz w:val="28"/>
          <w:szCs w:val="28"/>
        </w:rPr>
        <w:t xml:space="preserve">- </w:t>
      </w:r>
      <w:r w:rsidR="00B658FC">
        <w:rPr>
          <w:rFonts w:ascii="Times New Roman" w:hAnsi="Times New Roman"/>
          <w:sz w:val="28"/>
          <w:szCs w:val="28"/>
        </w:rPr>
        <w:t>обучающийся</w:t>
      </w:r>
      <w:r w:rsidR="00B658FC"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E7746"/>
    <w:multiLevelType w:val="hybridMultilevel"/>
    <w:tmpl w:val="84902D5E"/>
    <w:lvl w:ilvl="0" w:tplc="F612D3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7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5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29"/>
  </w:num>
  <w:num w:numId="3">
    <w:abstractNumId w:val="46"/>
  </w:num>
  <w:num w:numId="4">
    <w:abstractNumId w:val="31"/>
  </w:num>
  <w:num w:numId="5">
    <w:abstractNumId w:val="37"/>
  </w:num>
  <w:num w:numId="6">
    <w:abstractNumId w:val="50"/>
  </w:num>
  <w:num w:numId="7">
    <w:abstractNumId w:val="56"/>
  </w:num>
  <w:num w:numId="8">
    <w:abstractNumId w:val="53"/>
  </w:num>
  <w:num w:numId="9">
    <w:abstractNumId w:val="17"/>
  </w:num>
  <w:num w:numId="10">
    <w:abstractNumId w:val="2"/>
  </w:num>
  <w:num w:numId="11">
    <w:abstractNumId w:val="36"/>
  </w:num>
  <w:num w:numId="12">
    <w:abstractNumId w:val="9"/>
  </w:num>
  <w:num w:numId="13">
    <w:abstractNumId w:val="27"/>
  </w:num>
  <w:num w:numId="14">
    <w:abstractNumId w:val="8"/>
  </w:num>
  <w:num w:numId="15">
    <w:abstractNumId w:val="24"/>
  </w:num>
  <w:num w:numId="16">
    <w:abstractNumId w:val="54"/>
  </w:num>
  <w:num w:numId="17">
    <w:abstractNumId w:val="64"/>
  </w:num>
  <w:num w:numId="18">
    <w:abstractNumId w:val="21"/>
  </w:num>
  <w:num w:numId="19">
    <w:abstractNumId w:val="43"/>
  </w:num>
  <w:num w:numId="20">
    <w:abstractNumId w:val="30"/>
  </w:num>
  <w:num w:numId="21">
    <w:abstractNumId w:val="38"/>
  </w:num>
  <w:num w:numId="22">
    <w:abstractNumId w:val="52"/>
  </w:num>
  <w:num w:numId="23">
    <w:abstractNumId w:val="14"/>
  </w:num>
  <w:num w:numId="24">
    <w:abstractNumId w:val="7"/>
  </w:num>
  <w:num w:numId="25">
    <w:abstractNumId w:val="4"/>
  </w:num>
  <w:num w:numId="26">
    <w:abstractNumId w:val="57"/>
  </w:num>
  <w:num w:numId="27">
    <w:abstractNumId w:val="67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8"/>
  </w:num>
  <w:num w:numId="33">
    <w:abstractNumId w:val="40"/>
  </w:num>
  <w:num w:numId="34">
    <w:abstractNumId w:val="58"/>
  </w:num>
  <w:num w:numId="35">
    <w:abstractNumId w:val="59"/>
  </w:num>
  <w:num w:numId="36">
    <w:abstractNumId w:val="65"/>
  </w:num>
  <w:num w:numId="37">
    <w:abstractNumId w:val="66"/>
  </w:num>
  <w:num w:numId="38">
    <w:abstractNumId w:val="45"/>
  </w:num>
  <w:num w:numId="39">
    <w:abstractNumId w:val="35"/>
  </w:num>
  <w:num w:numId="40">
    <w:abstractNumId w:val="28"/>
  </w:num>
  <w:num w:numId="41">
    <w:abstractNumId w:val="11"/>
  </w:num>
  <w:num w:numId="42">
    <w:abstractNumId w:val="0"/>
  </w:num>
  <w:num w:numId="43">
    <w:abstractNumId w:val="15"/>
  </w:num>
  <w:num w:numId="44">
    <w:abstractNumId w:val="60"/>
  </w:num>
  <w:num w:numId="45">
    <w:abstractNumId w:val="13"/>
  </w:num>
  <w:num w:numId="46">
    <w:abstractNumId w:val="55"/>
  </w:num>
  <w:num w:numId="47">
    <w:abstractNumId w:val="34"/>
  </w:num>
  <w:num w:numId="48">
    <w:abstractNumId w:val="16"/>
  </w:num>
  <w:num w:numId="49">
    <w:abstractNumId w:val="12"/>
  </w:num>
  <w:num w:numId="50">
    <w:abstractNumId w:val="26"/>
  </w:num>
  <w:num w:numId="51">
    <w:abstractNumId w:val="6"/>
  </w:num>
  <w:num w:numId="52">
    <w:abstractNumId w:val="63"/>
  </w:num>
  <w:num w:numId="53">
    <w:abstractNumId w:val="42"/>
  </w:num>
  <w:num w:numId="54">
    <w:abstractNumId w:val="19"/>
  </w:num>
  <w:num w:numId="55">
    <w:abstractNumId w:val="32"/>
  </w:num>
  <w:num w:numId="56">
    <w:abstractNumId w:val="25"/>
  </w:num>
  <w:num w:numId="57">
    <w:abstractNumId w:val="69"/>
  </w:num>
  <w:num w:numId="58">
    <w:abstractNumId w:val="10"/>
  </w:num>
  <w:num w:numId="59">
    <w:abstractNumId w:val="62"/>
  </w:num>
  <w:num w:numId="60">
    <w:abstractNumId w:val="20"/>
  </w:num>
  <w:num w:numId="61">
    <w:abstractNumId w:val="61"/>
  </w:num>
  <w:num w:numId="62">
    <w:abstractNumId w:val="51"/>
  </w:num>
  <w:num w:numId="63">
    <w:abstractNumId w:val="44"/>
  </w:num>
  <w:num w:numId="64">
    <w:abstractNumId w:val="49"/>
  </w:num>
  <w:num w:numId="65">
    <w:abstractNumId w:val="18"/>
  </w:num>
  <w:num w:numId="66">
    <w:abstractNumId w:val="48"/>
  </w:num>
  <w:num w:numId="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3"/>
  </w:num>
  <w:num w:numId="69">
    <w:abstractNumId w:val="47"/>
  </w:num>
  <w:num w:numId="70">
    <w:abstractNumId w:val="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868"/>
    <w:rsid w:val="00013DE5"/>
    <w:rsid w:val="0002524C"/>
    <w:rsid w:val="00041C22"/>
    <w:rsid w:val="000626F2"/>
    <w:rsid w:val="0006636D"/>
    <w:rsid w:val="00072B4B"/>
    <w:rsid w:val="00073353"/>
    <w:rsid w:val="00080B9A"/>
    <w:rsid w:val="000F34FF"/>
    <w:rsid w:val="00114BC3"/>
    <w:rsid w:val="001A7045"/>
    <w:rsid w:val="00245BB8"/>
    <w:rsid w:val="0025783F"/>
    <w:rsid w:val="002609CA"/>
    <w:rsid w:val="002777E7"/>
    <w:rsid w:val="002A2DD3"/>
    <w:rsid w:val="00311D8B"/>
    <w:rsid w:val="00321845"/>
    <w:rsid w:val="0033309F"/>
    <w:rsid w:val="00340C6D"/>
    <w:rsid w:val="0034352E"/>
    <w:rsid w:val="00351868"/>
    <w:rsid w:val="0038365D"/>
    <w:rsid w:val="003C1D9A"/>
    <w:rsid w:val="004201ED"/>
    <w:rsid w:val="00425D93"/>
    <w:rsid w:val="00432976"/>
    <w:rsid w:val="004D69B2"/>
    <w:rsid w:val="00502C5F"/>
    <w:rsid w:val="005E3083"/>
    <w:rsid w:val="00616280"/>
    <w:rsid w:val="00631C89"/>
    <w:rsid w:val="00680B33"/>
    <w:rsid w:val="00681EFF"/>
    <w:rsid w:val="00687AAB"/>
    <w:rsid w:val="006F1CAC"/>
    <w:rsid w:val="008B0F09"/>
    <w:rsid w:val="008E6B60"/>
    <w:rsid w:val="009722F4"/>
    <w:rsid w:val="00973520"/>
    <w:rsid w:val="00976E2E"/>
    <w:rsid w:val="009F7AB4"/>
    <w:rsid w:val="00A266F5"/>
    <w:rsid w:val="00A525E7"/>
    <w:rsid w:val="00AD6C41"/>
    <w:rsid w:val="00AF7BE0"/>
    <w:rsid w:val="00B05337"/>
    <w:rsid w:val="00B658FC"/>
    <w:rsid w:val="00B671ED"/>
    <w:rsid w:val="00B74850"/>
    <w:rsid w:val="00B960F7"/>
    <w:rsid w:val="00BA108E"/>
    <w:rsid w:val="00BD5D6F"/>
    <w:rsid w:val="00C07458"/>
    <w:rsid w:val="00C21F92"/>
    <w:rsid w:val="00C37084"/>
    <w:rsid w:val="00CB3FD9"/>
    <w:rsid w:val="00CE5F37"/>
    <w:rsid w:val="00CF2E5D"/>
    <w:rsid w:val="00D4786E"/>
    <w:rsid w:val="00D51D18"/>
    <w:rsid w:val="00D5639F"/>
    <w:rsid w:val="00D9269A"/>
    <w:rsid w:val="00DD3644"/>
    <w:rsid w:val="00DE35F2"/>
    <w:rsid w:val="00E14A47"/>
    <w:rsid w:val="00E23F49"/>
    <w:rsid w:val="00E427C0"/>
    <w:rsid w:val="00F92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71C078"/>
  <w15:docId w15:val="{982693C2-2E17-4529-B850-A7C10F5F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DD36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D3644"/>
    <w:rPr>
      <w:rFonts w:eastAsiaTheme="minorEastAsia"/>
      <w:color w:val="5A5A5A" w:themeColor="text1" w:themeTint="A5"/>
      <w:spacing w:val="15"/>
    </w:rPr>
  </w:style>
  <w:style w:type="paragraph" w:customStyle="1" w:styleId="110">
    <w:name w:val="Раздел 1.1"/>
    <w:basedOn w:val="af0"/>
    <w:link w:val="111"/>
    <w:qFormat/>
    <w:rsid w:val="00DD364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1"/>
    <w:link w:val="110"/>
    <w:rsid w:val="00DD3644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1A835-3C7B-4484-BE34-B4896844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34</cp:revision>
  <dcterms:created xsi:type="dcterms:W3CDTF">2020-12-27T18:40:00Z</dcterms:created>
  <dcterms:modified xsi:type="dcterms:W3CDTF">2025-04-21T06:54:00Z</dcterms:modified>
</cp:coreProperties>
</file>