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2105D6">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147B74" w:rsidP="004A5038">
      <w:pPr>
        <w:suppressAutoHyphens/>
        <w:spacing w:line="276" w:lineRule="auto"/>
        <w:jc w:val="center"/>
        <w:rPr>
          <w:sz w:val="28"/>
          <w:szCs w:val="28"/>
        </w:rPr>
      </w:pPr>
      <w:r>
        <w:rPr>
          <w:rFonts w:eastAsiaTheme="minorHAnsi"/>
          <w:bCs/>
          <w:sz w:val="28"/>
          <w:szCs w:val="28"/>
          <w:lang w:eastAsia="en-US"/>
        </w:rPr>
        <w:t>54.02.01 «Дизайн (по отраслям)»</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2105D6">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2105D6" w:rsidRPr="003F6E96" w:rsidRDefault="002105D6" w:rsidP="002105D6">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2105D6" w:rsidRPr="003F6E96" w:rsidRDefault="002105D6" w:rsidP="002105D6">
      <w:pPr>
        <w:suppressAutoHyphens/>
        <w:ind w:firstLine="709"/>
        <w:jc w:val="both"/>
        <w:rPr>
          <w:b/>
          <w:sz w:val="28"/>
          <w:szCs w:val="28"/>
        </w:rPr>
      </w:pPr>
    </w:p>
    <w:p w:rsidR="002105D6" w:rsidRPr="003F6E96" w:rsidRDefault="002105D6" w:rsidP="002105D6">
      <w:pPr>
        <w:suppressAutoHyphens/>
        <w:ind w:firstLine="709"/>
        <w:jc w:val="both"/>
        <w:rPr>
          <w:b/>
          <w:sz w:val="28"/>
          <w:szCs w:val="28"/>
        </w:rPr>
      </w:pPr>
    </w:p>
    <w:p w:rsidR="002105D6" w:rsidRPr="003F6E96" w:rsidRDefault="002105D6" w:rsidP="002105D6">
      <w:pPr>
        <w:suppressAutoHyphens/>
        <w:ind w:firstLine="709"/>
        <w:jc w:val="both"/>
        <w:rPr>
          <w:b/>
          <w:sz w:val="28"/>
          <w:szCs w:val="28"/>
        </w:rPr>
      </w:pPr>
    </w:p>
    <w:p w:rsidR="002105D6" w:rsidRPr="003F6E96" w:rsidRDefault="002105D6" w:rsidP="002105D6">
      <w:pPr>
        <w:suppressAutoHyphens/>
        <w:ind w:firstLine="709"/>
        <w:jc w:val="both"/>
        <w:rPr>
          <w:b/>
          <w:sz w:val="28"/>
          <w:szCs w:val="28"/>
        </w:rPr>
      </w:pPr>
    </w:p>
    <w:p w:rsidR="002105D6" w:rsidRPr="003F6E96" w:rsidRDefault="002105D6" w:rsidP="002105D6">
      <w:pPr>
        <w:suppressAutoHyphens/>
        <w:ind w:firstLine="709"/>
        <w:jc w:val="both"/>
        <w:rPr>
          <w:b/>
          <w:sz w:val="28"/>
          <w:szCs w:val="28"/>
        </w:rPr>
      </w:pPr>
    </w:p>
    <w:p w:rsidR="002105D6" w:rsidRPr="003F6E96" w:rsidRDefault="002105D6" w:rsidP="002105D6">
      <w:pPr>
        <w:suppressAutoHyphens/>
        <w:ind w:firstLine="709"/>
        <w:jc w:val="both"/>
        <w:rPr>
          <w:b/>
          <w:sz w:val="28"/>
          <w:szCs w:val="28"/>
        </w:rPr>
      </w:pPr>
    </w:p>
    <w:p w:rsidR="002105D6" w:rsidRPr="003F6E96" w:rsidRDefault="002105D6" w:rsidP="002105D6">
      <w:pPr>
        <w:suppressAutoHyphens/>
        <w:ind w:firstLine="709"/>
        <w:jc w:val="both"/>
        <w:rPr>
          <w:b/>
          <w:sz w:val="28"/>
          <w:szCs w:val="28"/>
        </w:rPr>
      </w:pPr>
    </w:p>
    <w:p w:rsidR="002105D6" w:rsidRPr="003F6E96" w:rsidRDefault="002105D6" w:rsidP="002105D6">
      <w:pPr>
        <w:suppressAutoHyphens/>
        <w:jc w:val="both"/>
        <w:rPr>
          <w:b/>
          <w:sz w:val="28"/>
          <w:szCs w:val="28"/>
        </w:rPr>
      </w:pPr>
    </w:p>
    <w:p w:rsidR="002105D6" w:rsidRPr="003F6E96" w:rsidRDefault="002105D6" w:rsidP="002105D6">
      <w:pPr>
        <w:suppressAutoHyphens/>
        <w:ind w:firstLine="709"/>
        <w:jc w:val="both"/>
        <w:rPr>
          <w:sz w:val="28"/>
          <w:szCs w:val="28"/>
        </w:rPr>
      </w:pPr>
      <w:r w:rsidRPr="003F6E96">
        <w:rPr>
          <w:b/>
          <w:sz w:val="28"/>
          <w:szCs w:val="28"/>
        </w:rPr>
        <w:t xml:space="preserve">Составитель: </w:t>
      </w:r>
      <w:r>
        <w:rPr>
          <w:sz w:val="28"/>
          <w:szCs w:val="28"/>
        </w:rPr>
        <w:t>Шпур С.Б.</w:t>
      </w:r>
    </w:p>
    <w:p w:rsidR="002105D6" w:rsidRPr="003F6E96" w:rsidRDefault="002105D6" w:rsidP="002105D6">
      <w:pPr>
        <w:suppressAutoHyphens/>
        <w:ind w:firstLine="709"/>
        <w:jc w:val="both"/>
        <w:rPr>
          <w:sz w:val="28"/>
          <w:szCs w:val="28"/>
        </w:rPr>
      </w:pPr>
    </w:p>
    <w:p w:rsidR="002105D6" w:rsidRDefault="002105D6" w:rsidP="002105D6">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2105D6" w:rsidRDefault="002105D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2105D6" w:rsidRDefault="002105D6"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A5486D" w:rsidRPr="00A5486D" w:rsidRDefault="00A5486D" w:rsidP="00A5486D">
      <w:pPr>
        <w:spacing w:line="360" w:lineRule="auto"/>
        <w:jc w:val="center"/>
        <w:rPr>
          <w:b/>
          <w:sz w:val="28"/>
          <w:szCs w:val="28"/>
        </w:rPr>
      </w:pPr>
      <w:r w:rsidRPr="00A5486D">
        <w:rPr>
          <w:b/>
          <w:sz w:val="28"/>
          <w:szCs w:val="28"/>
        </w:rPr>
        <w:t>Основные источники</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A5486D">
        <w:rPr>
          <w:rFonts w:eastAsia="SimSun"/>
          <w:color w:val="000000"/>
          <w:kern w:val="3"/>
          <w:sz w:val="28"/>
          <w:szCs w:val="28"/>
          <w:lang w:eastAsia="en-US"/>
        </w:rPr>
        <w:lastRenderedPageBreak/>
        <w:t>электронный // Лань: электронно-библиотечная система. — URL: https://e.lanbook.com/book/334958</w:t>
      </w:r>
    </w:p>
    <w:p w:rsidR="00A5486D" w:rsidRPr="00A5486D" w:rsidRDefault="00A5486D" w:rsidP="00A5486D">
      <w:pPr>
        <w:numPr>
          <w:ilvl w:val="1"/>
          <w:numId w:val="16"/>
        </w:numPr>
        <w:suppressAutoHyphens/>
        <w:autoSpaceDN w:val="0"/>
        <w:spacing w:after="200" w:line="276" w:lineRule="auto"/>
        <w:jc w:val="both"/>
        <w:rPr>
          <w:rFonts w:eastAsia="SimSun"/>
          <w:color w:val="000000"/>
          <w:kern w:val="3"/>
          <w:sz w:val="28"/>
          <w:szCs w:val="28"/>
          <w:lang w:eastAsia="en-US"/>
        </w:rPr>
      </w:pPr>
      <w:r w:rsidRPr="00A5486D">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A5486D" w:rsidRPr="00A5486D" w:rsidRDefault="00A5486D" w:rsidP="00A5486D">
      <w:pPr>
        <w:suppressAutoHyphens/>
        <w:autoSpaceDN w:val="0"/>
        <w:rPr>
          <w:rFonts w:eastAsia="SimSun"/>
          <w:color w:val="000000"/>
          <w:kern w:val="3"/>
          <w:sz w:val="28"/>
          <w:szCs w:val="28"/>
          <w:lang w:eastAsia="en-US"/>
        </w:rPr>
      </w:pPr>
    </w:p>
    <w:p w:rsidR="00A5486D" w:rsidRPr="00A5486D" w:rsidRDefault="00A5486D" w:rsidP="00A5486D">
      <w:pPr>
        <w:suppressAutoHyphens/>
        <w:autoSpaceDN w:val="0"/>
        <w:jc w:val="center"/>
        <w:rPr>
          <w:rFonts w:eastAsia="SimSun"/>
          <w:color w:val="000000"/>
          <w:kern w:val="3"/>
          <w:sz w:val="28"/>
          <w:szCs w:val="28"/>
          <w:lang w:eastAsia="en-US"/>
        </w:rPr>
      </w:pPr>
      <w:r w:rsidRPr="00A5486D">
        <w:rPr>
          <w:rFonts w:eastAsia="SimSun"/>
          <w:b/>
          <w:bCs/>
          <w:color w:val="000000"/>
          <w:kern w:val="3"/>
          <w:sz w:val="28"/>
          <w:szCs w:val="28"/>
          <w:lang w:eastAsia="en-US"/>
        </w:rPr>
        <w:t>Дополнительные источники:</w:t>
      </w:r>
    </w:p>
    <w:p w:rsidR="00A5486D" w:rsidRPr="00A5486D" w:rsidRDefault="00A5486D" w:rsidP="00A5486D">
      <w:pPr>
        <w:suppressAutoHyphens/>
        <w:autoSpaceDN w:val="0"/>
        <w:rPr>
          <w:rFonts w:eastAsia="SimSun"/>
          <w:color w:val="000000"/>
          <w:kern w:val="3"/>
          <w:sz w:val="28"/>
          <w:szCs w:val="28"/>
          <w:lang w:eastAsia="en-US"/>
        </w:rPr>
      </w:pPr>
    </w:p>
    <w:p w:rsidR="00A5486D" w:rsidRPr="00A5486D" w:rsidRDefault="00A5486D" w:rsidP="00A5486D">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A5486D">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A5486D" w:rsidRPr="00A5486D" w:rsidRDefault="00A5486D" w:rsidP="00A5486D">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A5486D">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A5486D" w:rsidRPr="00A5486D" w:rsidRDefault="00A5486D" w:rsidP="00A5486D">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A5486D">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A5486D" w:rsidRPr="00A5486D" w:rsidRDefault="00A5486D" w:rsidP="00A5486D">
      <w:pPr>
        <w:suppressAutoHyphens/>
        <w:autoSpaceDN w:val="0"/>
        <w:rPr>
          <w:rFonts w:eastAsia="SimSun"/>
          <w:color w:val="000000"/>
          <w:kern w:val="3"/>
          <w:sz w:val="28"/>
          <w:szCs w:val="28"/>
          <w:lang w:eastAsia="en-US"/>
        </w:rPr>
      </w:pPr>
    </w:p>
    <w:p w:rsidR="00A5486D" w:rsidRPr="00A5486D" w:rsidRDefault="00A5486D" w:rsidP="00A5486D">
      <w:pPr>
        <w:suppressAutoHyphens/>
        <w:autoSpaceDN w:val="0"/>
        <w:jc w:val="center"/>
        <w:rPr>
          <w:rFonts w:eastAsia="SimSun"/>
          <w:b/>
          <w:color w:val="000000"/>
          <w:kern w:val="3"/>
          <w:sz w:val="28"/>
          <w:szCs w:val="28"/>
          <w:lang w:eastAsia="en-US"/>
        </w:rPr>
      </w:pPr>
      <w:r w:rsidRPr="00A5486D">
        <w:rPr>
          <w:rFonts w:eastAsia="SimSun"/>
          <w:b/>
          <w:color w:val="000000"/>
          <w:kern w:val="3"/>
          <w:sz w:val="28"/>
          <w:szCs w:val="28"/>
          <w:lang w:eastAsia="en-US"/>
        </w:rPr>
        <w:t>Интернет-ресурсы:</w:t>
      </w:r>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bCs/>
          <w:color w:val="000000"/>
          <w:sz w:val="28"/>
          <w:szCs w:val="28"/>
          <w:lang w:eastAsia="en-US"/>
        </w:rPr>
        <w:t xml:space="preserve">Информационно-библиотечная система Лань - </w:t>
      </w:r>
      <w:hyperlink r:id="rId9" w:history="1">
        <w:r w:rsidRPr="00A5486D">
          <w:rPr>
            <w:rFonts w:eastAsia="Calibri"/>
            <w:color w:val="000000"/>
            <w:sz w:val="28"/>
            <w:szCs w:val="28"/>
            <w:lang w:eastAsia="en-US"/>
          </w:rPr>
          <w:t>http://</w:t>
        </w:r>
        <w:r w:rsidRPr="00A5486D">
          <w:rPr>
            <w:rFonts w:ascii="Calibri" w:eastAsia="Calibri" w:hAnsi="Calibri" w:cs="Calibri"/>
            <w:sz w:val="22"/>
            <w:szCs w:val="22"/>
            <w:lang w:eastAsia="en-US"/>
          </w:rPr>
          <w:t xml:space="preserve"> </w:t>
        </w:r>
        <w:r w:rsidRPr="00A5486D">
          <w:rPr>
            <w:rFonts w:eastAsia="Calibri"/>
            <w:color w:val="000000"/>
            <w:sz w:val="28"/>
            <w:szCs w:val="28"/>
            <w:lang w:val="en-US" w:eastAsia="en-US"/>
          </w:rPr>
          <w:t>e</w:t>
        </w:r>
        <w:r w:rsidRPr="00A5486D">
          <w:rPr>
            <w:rFonts w:eastAsia="Calibri"/>
            <w:color w:val="000000"/>
            <w:sz w:val="28"/>
            <w:szCs w:val="28"/>
            <w:lang w:eastAsia="en-US"/>
          </w:rPr>
          <w:t>.</w:t>
        </w:r>
        <w:r w:rsidRPr="00A5486D">
          <w:rPr>
            <w:rFonts w:eastAsia="Calibri"/>
            <w:color w:val="000000"/>
            <w:sz w:val="28"/>
            <w:szCs w:val="28"/>
            <w:lang w:val="en-US" w:eastAsia="en-US"/>
          </w:rPr>
          <w:t>lanbook</w:t>
        </w:r>
        <w:r w:rsidRPr="00A5486D">
          <w:rPr>
            <w:rFonts w:eastAsia="Calibri"/>
            <w:color w:val="000000"/>
            <w:sz w:val="28"/>
            <w:szCs w:val="28"/>
            <w:lang w:eastAsia="en-US"/>
          </w:rPr>
          <w:t>.</w:t>
        </w:r>
        <w:r w:rsidRPr="00A5486D">
          <w:rPr>
            <w:rFonts w:eastAsia="Calibri"/>
            <w:color w:val="000000"/>
            <w:sz w:val="28"/>
            <w:szCs w:val="28"/>
            <w:lang w:val="en-US" w:eastAsia="en-US"/>
          </w:rPr>
          <w:t>com</w:t>
        </w:r>
        <w:r w:rsidRPr="00A5486D">
          <w:rPr>
            <w:rFonts w:eastAsia="Calibri"/>
            <w:color w:val="000000"/>
            <w:sz w:val="28"/>
            <w:szCs w:val="28"/>
            <w:lang w:eastAsia="en-US"/>
          </w:rPr>
          <w:t xml:space="preserve"> /</w:t>
        </w:r>
      </w:hyperlink>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Единая коллекция цифровых образовательных ресурсов. - URL: http://school-collection.edu.ru </w:t>
      </w:r>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A5486D">
          <w:rPr>
            <w:rFonts w:eastAsia="Calibri"/>
            <w:color w:val="000000"/>
            <w:sz w:val="28"/>
            <w:szCs w:val="28"/>
            <w:lang w:eastAsia="en-US"/>
          </w:rPr>
          <w:t>http://window.edu.ru</w:t>
        </w:r>
      </w:hyperlink>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 КиберЛенинка. - URL: </w:t>
      </w:r>
      <w:hyperlink r:id="rId11" w:history="1">
        <w:r w:rsidRPr="00A5486D">
          <w:rPr>
            <w:rFonts w:eastAsia="Calibri"/>
            <w:color w:val="000000"/>
            <w:sz w:val="28"/>
            <w:szCs w:val="28"/>
            <w:lang w:eastAsia="en-US"/>
          </w:rPr>
          <w:t>http://cyberleninka.ru</w:t>
        </w:r>
      </w:hyperlink>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 Министерство образования и науки Российской Федерации. - URL: https://minobrnauki.gov.ru/ </w:t>
      </w:r>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lastRenderedPageBreak/>
        <w:t xml:space="preserve">Научная электронная библиотека (НЭБ). - URL: http://www.elibrary.ru </w:t>
      </w:r>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Российская национальная библиотека URL: https://nlr.ru/ </w:t>
      </w:r>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Федеральный портал «Российское образование». - URL: http://www.edu.ru </w:t>
      </w:r>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Федеральный центр информационно-образовательных ресурсов. - URL: </w:t>
      </w:r>
      <w:hyperlink r:id="rId12" w:history="1">
        <w:r w:rsidRPr="00A5486D">
          <w:rPr>
            <w:rFonts w:eastAsia="Calibri"/>
            <w:color w:val="000000"/>
            <w:sz w:val="28"/>
            <w:szCs w:val="28"/>
            <w:lang w:eastAsia="en-US"/>
          </w:rPr>
          <w:t>http://fcior.edu.ru</w:t>
        </w:r>
      </w:hyperlink>
    </w:p>
    <w:p w:rsidR="00A5486D" w:rsidRPr="00A5486D" w:rsidRDefault="00A5486D" w:rsidP="00A5486D">
      <w:pPr>
        <w:numPr>
          <w:ilvl w:val="0"/>
          <w:numId w:val="3"/>
        </w:numPr>
        <w:spacing w:after="200" w:line="276" w:lineRule="auto"/>
        <w:ind w:left="360"/>
        <w:contextualSpacing/>
        <w:jc w:val="both"/>
        <w:rPr>
          <w:rFonts w:eastAsia="Calibri"/>
          <w:bCs/>
          <w:color w:val="000000"/>
          <w:sz w:val="28"/>
          <w:szCs w:val="28"/>
          <w:lang w:eastAsia="en-US"/>
        </w:rPr>
      </w:pPr>
      <w:r w:rsidRPr="00A5486D">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49C" w:rsidRDefault="006E749C">
      <w:r>
        <w:separator/>
      </w:r>
    </w:p>
  </w:endnote>
  <w:endnote w:type="continuationSeparator" w:id="0">
    <w:p w:rsidR="006E749C" w:rsidRDefault="006E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A5486D">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49C" w:rsidRDefault="006E749C">
      <w:r>
        <w:separator/>
      </w:r>
    </w:p>
  </w:footnote>
  <w:footnote w:type="continuationSeparator" w:id="0">
    <w:p w:rsidR="006E749C" w:rsidRDefault="006E7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05D6"/>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49C"/>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486D"/>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A411D-BE65-4B60-BE34-DAE4F144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25950</Words>
  <Characters>147921</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2023-06-18T19:04:00Z</cp:lastPrinted>
  <dcterms:created xsi:type="dcterms:W3CDTF">2023-09-19T06:42:00Z</dcterms:created>
  <dcterms:modified xsi:type="dcterms:W3CDTF">2024-04-16T12:11:00Z</dcterms:modified>
</cp:coreProperties>
</file>