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Pr="00375335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D4B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D4B"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№</w:t>
            </w:r>
            <w:r w:rsidR="00DD5D4B">
              <w:rPr>
                <w:rFonts w:ascii="Times New Roman" w:hAnsi="Times New Roman"/>
                <w:sz w:val="24"/>
                <w:szCs w:val="24"/>
              </w:rPr>
              <w:t>9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от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«2</w:t>
            </w:r>
            <w:r w:rsidR="00DD5D4B">
              <w:rPr>
                <w:rFonts w:ascii="Times New Roman" w:hAnsi="Times New Roman"/>
                <w:sz w:val="24"/>
                <w:szCs w:val="24"/>
              </w:rPr>
              <w:t>0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»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мая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202</w:t>
            </w:r>
            <w:r w:rsidR="00DD5D4B">
              <w:rPr>
                <w:rFonts w:ascii="Times New Roman" w:hAnsi="Times New Roman"/>
                <w:sz w:val="24"/>
                <w:szCs w:val="24"/>
              </w:rPr>
              <w:t>4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319F3" w:rsidRPr="005319F3">
        <w:rPr>
          <w:rFonts w:ascii="Times New Roman" w:hAnsi="Times New Roman"/>
          <w:sz w:val="28"/>
          <w:szCs w:val="28"/>
        </w:rPr>
        <w:t>Сервисная деятельность в туризме и гостеприимстве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DD5D4B">
        <w:rPr>
          <w:rFonts w:ascii="Times New Roman" w:hAnsi="Times New Roman"/>
          <w:sz w:val="28"/>
          <w:szCs w:val="28"/>
        </w:rPr>
        <w:t>Нечаева С.В.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DD5D4B">
        <w:rPr>
          <w:rFonts w:ascii="Times New Roman" w:hAnsi="Times New Roman"/>
          <w:sz w:val="28"/>
          <w:szCs w:val="28"/>
        </w:rPr>
        <w:t>4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319F3" w:rsidRPr="005319F3">
        <w:rPr>
          <w:rFonts w:ascii="Times New Roman" w:hAnsi="Times New Roman"/>
          <w:sz w:val="28"/>
          <w:szCs w:val="28"/>
        </w:rPr>
        <w:t>Сервисная деятельность в туризме и гостеприимстве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ACD" w:rsidRDefault="00E53ACD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6E2A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906E2A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>ОК 02., ОК 0</w:t>
            </w:r>
            <w:r w:rsidR="00E53ACD">
              <w:rPr>
                <w:rFonts w:ascii="Times New Roman" w:hAnsi="Times New Roman"/>
                <w:sz w:val="28"/>
                <w:szCs w:val="28"/>
              </w:rPr>
              <w:t>4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>., ОК 05.,</w:t>
            </w:r>
          </w:p>
          <w:p w:rsidR="00E53ACD" w:rsidRPr="00906E2A" w:rsidRDefault="00906E2A" w:rsidP="00E53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>ОК 0</w:t>
            </w:r>
            <w:r w:rsidR="00E53ACD">
              <w:rPr>
                <w:rFonts w:ascii="Times New Roman" w:hAnsi="Times New Roman"/>
                <w:sz w:val="28"/>
                <w:szCs w:val="28"/>
              </w:rPr>
              <w:t>9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 xml:space="preserve">., </w:t>
            </w:r>
          </w:p>
          <w:p w:rsid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 w:rsidR="00E53ACD">
              <w:rPr>
                <w:rFonts w:ascii="Times New Roman" w:hAnsi="Times New Roman"/>
                <w:sz w:val="28"/>
                <w:szCs w:val="28"/>
              </w:rPr>
              <w:t>11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F35C9" w:rsidRDefault="00906E2A" w:rsidP="00906E2A">
            <w:pPr>
              <w:spacing w:after="0" w:line="240" w:lineRule="auto"/>
            </w:pPr>
            <w:r w:rsidRPr="00906E2A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>1</w:t>
            </w:r>
            <w:r w:rsidR="00E53ACD">
              <w:rPr>
                <w:rFonts w:ascii="Times New Roman" w:hAnsi="Times New Roman"/>
                <w:sz w:val="28"/>
                <w:szCs w:val="28"/>
              </w:rPr>
              <w:t>5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>, ЛР 29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проводить поиск в различных поисковых системах;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различные виды учебных изданий;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применять методики самостоятельной работы с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учетом особенностей изучаемой дисциплины;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методы мониторинга рынка услуг;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воспроизводить правила обслуживания потребителей</w:t>
            </w:r>
          </w:p>
          <w:p w:rsidR="009F35C9" w:rsidRPr="009F35C9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услуг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классификаций услуг и сервиса;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истории и теории в сфере туризма и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гостеприимства;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методов мониторинга рынка услуг;</w:t>
            </w:r>
          </w:p>
          <w:p w:rsidR="00E53ACD" w:rsidRPr="00E53ACD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правил обслуживания потребителей</w:t>
            </w:r>
          </w:p>
          <w:p w:rsidR="009F35C9" w:rsidRPr="009F35C9" w:rsidRDefault="00E53ACD" w:rsidP="00E53ACD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E53ACD">
              <w:rPr>
                <w:rFonts w:ascii="Times New Roman" w:hAnsi="Times New Roman"/>
                <w:color w:val="212529"/>
                <w:sz w:val="28"/>
                <w:szCs w:val="28"/>
              </w:rPr>
              <w:t>услуг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E53ACD" w:rsidRDefault="00E53ACD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016709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Pr="00E53ACD">
        <w:rPr>
          <w:rFonts w:ascii="Times New Roman" w:hAnsi="Times New Roman" w:cs="Times New Roman"/>
          <w:sz w:val="28"/>
          <w:szCs w:val="28"/>
        </w:rPr>
        <w:t>услуг и его особенности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Покупательский риск в сфере услуг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Сегментирование рынка услуг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Основные подходы к осуществлению сервиса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Принципы современного сервиса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Тенденции современного сервиса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Понятие контактной зоны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Соответствие контактной зоны характеру и содержанию сервисной деятельности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Профессионализм персонала</w:t>
      </w:r>
    </w:p>
    <w:p w:rsidR="00016709" w:rsidRDefault="00E53ACD" w:rsidP="00963D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1Качество услуги</w:t>
      </w:r>
      <w:r w:rsidR="00016709" w:rsidRPr="000167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ACD" w:rsidRPr="00016709" w:rsidRDefault="00E53ACD" w:rsidP="00963D9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Качество обслуживания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Система показателей услуг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Основные характеристики качественности</w:t>
      </w:r>
    </w:p>
    <w:p w:rsidR="00E53ACD" w:rsidRPr="00E53ACD" w:rsidRDefault="00E53ACD" w:rsidP="00E53A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CD">
        <w:rPr>
          <w:rFonts w:ascii="Times New Roman" w:hAnsi="Times New Roman" w:cs="Times New Roman"/>
          <w:sz w:val="28"/>
          <w:szCs w:val="28"/>
        </w:rPr>
        <w:t>Виды туристского сервиса: внутренний, въездной, выездной, самодеятельный туризм</w:t>
      </w:r>
    </w:p>
    <w:p w:rsidR="00D1658B" w:rsidRPr="00016709" w:rsidRDefault="00E53ACD" w:rsidP="0055190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Виды сервисной деятельности: услуги туроператора, турагента, услуги при</w:t>
      </w:r>
      <w:r w:rsidR="00016709">
        <w:rPr>
          <w:rFonts w:ascii="Times New Roman" w:hAnsi="Times New Roman" w:cs="Times New Roman"/>
          <w:sz w:val="28"/>
          <w:szCs w:val="28"/>
        </w:rPr>
        <w:t xml:space="preserve"> </w:t>
      </w:r>
      <w:r w:rsidRPr="00016709">
        <w:rPr>
          <w:rFonts w:ascii="Times New Roman" w:hAnsi="Times New Roman" w:cs="Times New Roman"/>
          <w:sz w:val="28"/>
          <w:szCs w:val="28"/>
        </w:rPr>
        <w:t>самодельном туризме, экскурсионные услуги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6709">
        <w:rPr>
          <w:rFonts w:ascii="Times New Roman" w:hAnsi="Times New Roman" w:cs="Times New Roman"/>
          <w:sz w:val="28"/>
          <w:szCs w:val="28"/>
        </w:rPr>
        <w:t>ринципы современного сервиса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Задачи современного сервиса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Основные подходы к осуществлению сервиса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Усиление роли сервиса в современной экономике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Виды сервиса по содержанию работ</w:t>
      </w:r>
    </w:p>
    <w:p w:rsidR="00016709" w:rsidRDefault="00016709" w:rsidP="0072259F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Классификация потребностей в сервисе.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709" w:rsidRPr="00016709" w:rsidRDefault="00016709" w:rsidP="0072259F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Этапы процесса обслуживания</w:t>
      </w:r>
    </w:p>
    <w:p w:rsidR="00016709" w:rsidRDefault="00016709" w:rsidP="001C4421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Понятие контактной зоны.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709" w:rsidRPr="00016709" w:rsidRDefault="00016709" w:rsidP="001C4421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Особенности работы в контактной зоне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Общероссийский классификатор услуг населению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Предоставление основных видов услуг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Материальные услуги (бытовые)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Материальные услуги (транспортные)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Материальные услуги (общественное питание)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Материальные услуги (розничная и оптовая торговля)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Социально-культурные услуги (туристские и экскурсионные)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Социально-культурные услуги (санаторно-оздоровительные)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Социально-культурные услуги (гостиничные)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Социально-культурные услуги (физическая культура и спорт)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Формы обслуживания потребителей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Методы обслуживания потребителей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Правила обслуживания потребителей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Договорные обязательства в сервисе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lastRenderedPageBreak/>
        <w:t>Оплата услуг</w:t>
      </w:r>
    </w:p>
    <w:p w:rsidR="00016709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Показатели качества услуг</w:t>
      </w:r>
    </w:p>
    <w:p w:rsidR="00E53ACD" w:rsidRPr="00016709" w:rsidRDefault="00016709" w:rsidP="0001670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709">
        <w:rPr>
          <w:rFonts w:ascii="Times New Roman" w:hAnsi="Times New Roman" w:cs="Times New Roman"/>
          <w:sz w:val="28"/>
          <w:szCs w:val="28"/>
        </w:rPr>
        <w:t>Контроль и оценка качества услуг</w:t>
      </w:r>
    </w:p>
    <w:p w:rsidR="00016709" w:rsidRDefault="00016709" w:rsidP="00E53A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3D607D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35C9" w:rsidRPr="00B658FC">
        <w:rPr>
          <w:rFonts w:ascii="Times New Roman" w:hAnsi="Times New Roman"/>
          <w:b/>
          <w:sz w:val="28"/>
          <w:szCs w:val="28"/>
        </w:rPr>
        <w:t>«</w:t>
      </w:r>
      <w:r w:rsidR="003B4F93">
        <w:rPr>
          <w:rFonts w:ascii="Times New Roman" w:hAnsi="Times New Roman"/>
          <w:b/>
          <w:sz w:val="28"/>
          <w:szCs w:val="28"/>
        </w:rPr>
        <w:t>Зачтено</w:t>
      </w:r>
      <w:r w:rsidR="009F35C9" w:rsidRPr="00B658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обучающимся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достаточно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высок,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теоретические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выполнении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практикой,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подтверждает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сформированность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компетенций;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3B4F93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</w:t>
      </w:r>
      <w:r w:rsidR="009F35C9" w:rsidRPr="00B658FC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зачтено</w:t>
      </w:r>
      <w:r w:rsidR="009F35C9" w:rsidRPr="00B658FC">
        <w:rPr>
          <w:rFonts w:ascii="Times New Roman" w:hAnsi="Times New Roman"/>
          <w:b/>
          <w:sz w:val="28"/>
          <w:szCs w:val="28"/>
        </w:rPr>
        <w:t>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CF" w:rsidRDefault="00EA1BCF">
      <w:pPr>
        <w:spacing w:after="0" w:line="240" w:lineRule="auto"/>
      </w:pPr>
      <w:r>
        <w:separator/>
      </w:r>
    </w:p>
  </w:endnote>
  <w:endnote w:type="continuationSeparator" w:id="0">
    <w:p w:rsidR="00EA1BCF" w:rsidRDefault="00EA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CF" w:rsidRDefault="00EA1BCF">
      <w:pPr>
        <w:spacing w:after="0" w:line="240" w:lineRule="auto"/>
      </w:pPr>
      <w:r>
        <w:separator/>
      </w:r>
    </w:p>
  </w:footnote>
  <w:footnote w:type="continuationSeparator" w:id="0">
    <w:p w:rsidR="00EA1BCF" w:rsidRDefault="00EA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790A9A"/>
    <w:multiLevelType w:val="hybridMultilevel"/>
    <w:tmpl w:val="DB481CEA"/>
    <w:numStyleLink w:val="1"/>
  </w:abstractNum>
  <w:abstractNum w:abstractNumId="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F5CDA"/>
    <w:multiLevelType w:val="hybridMultilevel"/>
    <w:tmpl w:val="40AEBA72"/>
    <w:numStyleLink w:val="56"/>
  </w:abstractNum>
  <w:abstractNum w:abstractNumId="14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9C"/>
    <w:rsid w:val="00016709"/>
    <w:rsid w:val="0018117C"/>
    <w:rsid w:val="0027271A"/>
    <w:rsid w:val="00292911"/>
    <w:rsid w:val="00375335"/>
    <w:rsid w:val="003B4F93"/>
    <w:rsid w:val="003D607D"/>
    <w:rsid w:val="004A4754"/>
    <w:rsid w:val="005319F3"/>
    <w:rsid w:val="005D4DD8"/>
    <w:rsid w:val="00635A2C"/>
    <w:rsid w:val="00655BCE"/>
    <w:rsid w:val="00661DD3"/>
    <w:rsid w:val="00693C61"/>
    <w:rsid w:val="008007C0"/>
    <w:rsid w:val="008D57D5"/>
    <w:rsid w:val="00906E2A"/>
    <w:rsid w:val="0091228D"/>
    <w:rsid w:val="00920C1F"/>
    <w:rsid w:val="00966A33"/>
    <w:rsid w:val="009F35C9"/>
    <w:rsid w:val="00A859F9"/>
    <w:rsid w:val="00AD03DC"/>
    <w:rsid w:val="00AF4F26"/>
    <w:rsid w:val="00B6669C"/>
    <w:rsid w:val="00C50519"/>
    <w:rsid w:val="00C66C3C"/>
    <w:rsid w:val="00D122D8"/>
    <w:rsid w:val="00D1658B"/>
    <w:rsid w:val="00DD5D4B"/>
    <w:rsid w:val="00E53ACD"/>
    <w:rsid w:val="00EA1BCF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304F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13</cp:revision>
  <dcterms:created xsi:type="dcterms:W3CDTF">2023-06-26T06:50:00Z</dcterms:created>
  <dcterms:modified xsi:type="dcterms:W3CDTF">2024-03-12T07:58:00Z</dcterms:modified>
</cp:coreProperties>
</file>