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B7C06">
        <w:rPr>
          <w:sz w:val="28"/>
          <w:szCs w:val="28"/>
        </w:rPr>
        <w:t xml:space="preserve">УП. 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4B7C06" w:rsidP="004A5038">
      <w:pPr>
        <w:suppressAutoHyphens/>
        <w:spacing w:line="276" w:lineRule="auto"/>
        <w:jc w:val="center"/>
        <w:rPr>
          <w:sz w:val="28"/>
          <w:szCs w:val="28"/>
        </w:rPr>
      </w:pPr>
      <w:r w:rsidRPr="004B7C06">
        <w:rPr>
          <w:sz w:val="28"/>
          <w:szCs w:val="28"/>
        </w:rPr>
        <w:t>42.02.01 Реклама</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 xml:space="preserve">Ставрополь, </w:t>
      </w:r>
      <w:r w:rsidR="004B7C06">
        <w:rPr>
          <w:sz w:val="28"/>
          <w:szCs w:val="28"/>
        </w:rPr>
        <w:t>2024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B62A38" w:rsidRPr="00B62A38" w:rsidRDefault="00B62A38" w:rsidP="00B62A38">
      <w:pPr>
        <w:spacing w:line="360" w:lineRule="auto"/>
        <w:ind w:firstLine="708"/>
        <w:jc w:val="both"/>
        <w:rPr>
          <w:color w:val="000000"/>
          <w:sz w:val="27"/>
          <w:szCs w:val="27"/>
        </w:rPr>
      </w:pPr>
      <w:r w:rsidRPr="00B62A38">
        <w:rPr>
          <w:color w:val="000000"/>
          <w:sz w:val="27"/>
          <w:szCs w:val="27"/>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color w:val="000000"/>
          <w:sz w:val="27"/>
          <w:szCs w:val="27"/>
        </w:rPr>
        <w:t>Россия-моя история</w:t>
      </w:r>
      <w:r w:rsidRPr="00B62A38">
        <w:rPr>
          <w:color w:val="000000"/>
          <w:sz w:val="27"/>
          <w:szCs w:val="27"/>
        </w:rPr>
        <w:t>» для профессиональных образовательных организаций и примерным учебно-методическим комплексом по общеобразовательной дисциплине «</w:t>
      </w:r>
      <w:r>
        <w:rPr>
          <w:color w:val="000000"/>
          <w:sz w:val="27"/>
          <w:szCs w:val="27"/>
        </w:rPr>
        <w:t>Россия-моя история</w:t>
      </w:r>
      <w:r w:rsidRPr="00B62A38">
        <w:rPr>
          <w:color w:val="000000"/>
          <w:sz w:val="27"/>
          <w:szCs w:val="27"/>
        </w:rPr>
        <w:t xml:space="preserve">», рекомендованной «Институтом развития профессионального образования» (ИРПО) от 2022 г. </w:t>
      </w:r>
    </w:p>
    <w:p w:rsidR="00B62A38" w:rsidRPr="00B62A38" w:rsidRDefault="00B62A38" w:rsidP="00B62A38">
      <w:pPr>
        <w:spacing w:line="360" w:lineRule="auto"/>
        <w:ind w:firstLine="708"/>
        <w:jc w:val="both"/>
        <w:rPr>
          <w:color w:val="000000"/>
          <w:sz w:val="27"/>
          <w:szCs w:val="27"/>
        </w:rPr>
      </w:pPr>
    </w:p>
    <w:p w:rsidR="00B62A38" w:rsidRPr="00B62A38" w:rsidRDefault="00B62A38" w:rsidP="00B62A38">
      <w:pPr>
        <w:spacing w:line="360" w:lineRule="auto"/>
        <w:ind w:firstLine="708"/>
        <w:jc w:val="both"/>
        <w:rPr>
          <w:color w:val="000000"/>
          <w:sz w:val="27"/>
          <w:szCs w:val="27"/>
        </w:rPr>
      </w:pPr>
      <w:r w:rsidRPr="00B62A38">
        <w:rPr>
          <w:color w:val="000000"/>
          <w:sz w:val="27"/>
          <w:szCs w:val="27"/>
        </w:rPr>
        <w:t xml:space="preserve">Составитель: </w:t>
      </w:r>
      <w:r>
        <w:rPr>
          <w:color w:val="000000"/>
          <w:sz w:val="27"/>
          <w:szCs w:val="27"/>
        </w:rPr>
        <w:t>Шпур С.Б.</w:t>
      </w:r>
    </w:p>
    <w:p w:rsidR="00B62A38" w:rsidRPr="00B62A38" w:rsidRDefault="00B62A38" w:rsidP="00B62A38">
      <w:pPr>
        <w:spacing w:line="360" w:lineRule="auto"/>
        <w:ind w:firstLine="708"/>
        <w:jc w:val="both"/>
        <w:rPr>
          <w:color w:val="000000"/>
          <w:sz w:val="27"/>
          <w:szCs w:val="27"/>
        </w:rPr>
      </w:pPr>
    </w:p>
    <w:p w:rsidR="00B62A38" w:rsidRPr="00B62A38" w:rsidRDefault="00B62A38" w:rsidP="00B62A38">
      <w:pPr>
        <w:spacing w:line="360" w:lineRule="auto"/>
        <w:ind w:firstLine="708"/>
        <w:jc w:val="both"/>
        <w:rPr>
          <w:color w:val="000000"/>
          <w:sz w:val="27"/>
          <w:szCs w:val="27"/>
        </w:rPr>
      </w:pPr>
      <w:r w:rsidRPr="00B62A38">
        <w:rPr>
          <w:color w:val="000000"/>
          <w:sz w:val="27"/>
          <w:szCs w:val="27"/>
        </w:rPr>
        <w:t>Рассмотрено и рекомендовано на заседании кафедры «Общеобразовательных дисциплин и педагогики», протокол №  5 от «15» января 2024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Default="00C143BD" w:rsidP="00C143BD">
      <w:pPr>
        <w:widowControl w:val="0"/>
        <w:spacing w:line="276" w:lineRule="auto"/>
        <w:outlineLvl w:val="8"/>
        <w:rPr>
          <w:b/>
          <w:sz w:val="28"/>
          <w:szCs w:val="28"/>
        </w:rPr>
      </w:pPr>
    </w:p>
    <w:p w:rsidR="00B62A38" w:rsidRDefault="00B62A38" w:rsidP="00C143BD">
      <w:pPr>
        <w:widowControl w:val="0"/>
        <w:spacing w:line="276" w:lineRule="auto"/>
        <w:outlineLvl w:val="8"/>
        <w:rPr>
          <w:b/>
          <w:sz w:val="28"/>
          <w:szCs w:val="28"/>
        </w:rPr>
      </w:pPr>
    </w:p>
    <w:p w:rsidR="00B62A38" w:rsidRPr="003376CD" w:rsidRDefault="00B62A38"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B62A38" w:rsidRDefault="00B62A38"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474C28" w:rsidRPr="00474C28" w:rsidRDefault="00474C28" w:rsidP="00474C28">
      <w:pPr>
        <w:suppressAutoHyphens/>
        <w:jc w:val="both"/>
        <w:rPr>
          <w:rFonts w:eastAsiaTheme="minorHAnsi"/>
          <w:sz w:val="28"/>
          <w:szCs w:val="28"/>
          <w:lang w:eastAsia="en-US"/>
        </w:rPr>
      </w:pPr>
      <w:r w:rsidRPr="00474C28">
        <w:rPr>
          <w:rFonts w:eastAsiaTheme="minorHAnsi"/>
          <w:sz w:val="28"/>
          <w:szCs w:val="28"/>
          <w:lang w:eastAsia="en-US"/>
        </w:rPr>
        <w:t>ЛР.01 Осознающий себя гражданином и защитником великой страны</w:t>
      </w:r>
    </w:p>
    <w:p w:rsidR="00474C28" w:rsidRPr="00474C28" w:rsidRDefault="00474C28" w:rsidP="00474C28">
      <w:pPr>
        <w:suppressAutoHyphens/>
        <w:jc w:val="both"/>
        <w:rPr>
          <w:rFonts w:eastAsiaTheme="minorHAnsi"/>
          <w:sz w:val="28"/>
          <w:szCs w:val="28"/>
          <w:lang w:eastAsia="en-US"/>
        </w:rPr>
      </w:pPr>
      <w:r w:rsidRPr="00474C28">
        <w:rPr>
          <w:rFonts w:eastAsiaTheme="minorHAnsi"/>
          <w:sz w:val="28"/>
          <w:szCs w:val="28"/>
          <w:lang w:eastAsia="en-US"/>
        </w:rPr>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474C28" w:rsidRPr="00474C28" w:rsidRDefault="00474C28" w:rsidP="00474C28">
      <w:pPr>
        <w:suppressAutoHyphens/>
        <w:jc w:val="both"/>
        <w:rPr>
          <w:rFonts w:eastAsiaTheme="minorHAnsi"/>
          <w:sz w:val="28"/>
          <w:szCs w:val="28"/>
          <w:lang w:eastAsia="en-US"/>
        </w:rPr>
      </w:pPr>
      <w:r w:rsidRPr="00474C28">
        <w:rPr>
          <w:rFonts w:eastAsiaTheme="minorHAnsi"/>
          <w:sz w:val="28"/>
          <w:szCs w:val="28"/>
          <w:lang w:eastAsia="en-US"/>
        </w:rP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474C28" w:rsidRPr="00474C28" w:rsidRDefault="00474C28" w:rsidP="00474C28">
      <w:pPr>
        <w:suppressAutoHyphens/>
        <w:jc w:val="both"/>
        <w:rPr>
          <w:rFonts w:eastAsiaTheme="minorHAnsi"/>
          <w:sz w:val="28"/>
          <w:szCs w:val="28"/>
          <w:lang w:eastAsia="en-US"/>
        </w:rPr>
      </w:pPr>
      <w:r w:rsidRPr="00474C28">
        <w:rPr>
          <w:rFonts w:eastAsiaTheme="minorHAnsi"/>
          <w:sz w:val="28"/>
          <w:szCs w:val="28"/>
          <w:lang w:eastAsia="en-US"/>
        </w:rP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F6E96" w:rsidRDefault="00474C28" w:rsidP="00474C28">
      <w:pPr>
        <w:suppressAutoHyphens/>
        <w:jc w:val="both"/>
        <w:rPr>
          <w:sz w:val="28"/>
          <w:szCs w:val="28"/>
        </w:rPr>
      </w:pPr>
      <w:r w:rsidRPr="00474C28">
        <w:rPr>
          <w:rFonts w:eastAsiaTheme="minorHAnsi"/>
          <w:sz w:val="28"/>
          <w:szCs w:val="28"/>
          <w:lang w:eastAsia="en-US"/>
        </w:rPr>
        <w:t>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w:t>
      </w:r>
      <w:r w:rsidRPr="003F6E96">
        <w:rPr>
          <w:sz w:val="28"/>
          <w:szCs w:val="28"/>
        </w:rPr>
        <w:lastRenderedPageBreak/>
        <w:t>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lastRenderedPageBreak/>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E80282" w:rsidRDefault="00E80282" w:rsidP="004A5038">
      <w:pPr>
        <w:suppressAutoHyphens/>
        <w:jc w:val="center"/>
        <w:rPr>
          <w:b/>
          <w:i/>
          <w:sz w:val="28"/>
          <w:szCs w:val="28"/>
        </w:rPr>
      </w:pPr>
      <w:bookmarkStart w:id="0" w:name="_GoBack"/>
      <w:bookmarkEnd w:id="0"/>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4B7C06" w:rsidP="002B7182">
      <w:pPr>
        <w:jc w:val="center"/>
        <w:rPr>
          <w:rFonts w:eastAsiaTheme="minorHAnsi" w:cstheme="minorBidi"/>
          <w:b/>
          <w:sz w:val="28"/>
          <w:szCs w:val="28"/>
          <w:lang w:eastAsia="en-US"/>
        </w:rPr>
      </w:pPr>
      <w:r>
        <w:rPr>
          <w:rFonts w:eastAsiaTheme="minorHAnsi" w:cstheme="minorBidi"/>
          <w:b/>
          <w:sz w:val="28"/>
          <w:szCs w:val="28"/>
          <w:lang w:eastAsia="en-US"/>
        </w:rPr>
        <w:t>Список основной литературы</w:t>
      </w:r>
      <w:r w:rsidR="002B7182" w:rsidRPr="002B7182">
        <w:rPr>
          <w:rFonts w:eastAsiaTheme="minorHAnsi" w:cstheme="minorBidi"/>
          <w:b/>
          <w:sz w:val="28"/>
          <w:szCs w:val="28"/>
          <w:lang w:eastAsia="en-US"/>
        </w:rPr>
        <w:t>:</w:t>
      </w:r>
    </w:p>
    <w:p w:rsidR="004B7C06" w:rsidRPr="004B7C06" w:rsidRDefault="004B7C06" w:rsidP="004B7C06">
      <w:pPr>
        <w:numPr>
          <w:ilvl w:val="0"/>
          <w:numId w:val="16"/>
        </w:numPr>
        <w:tabs>
          <w:tab w:val="left" w:pos="426"/>
        </w:tabs>
        <w:suppressAutoHyphens/>
        <w:autoSpaceDN w:val="0"/>
        <w:spacing w:after="200" w:line="276" w:lineRule="auto"/>
        <w:jc w:val="both"/>
        <w:rPr>
          <w:rFonts w:eastAsia="SimSun"/>
          <w:color w:val="000000"/>
          <w:kern w:val="3"/>
          <w:sz w:val="28"/>
          <w:szCs w:val="28"/>
          <w:lang w:eastAsia="en-US"/>
        </w:rPr>
      </w:pPr>
      <w:r w:rsidRPr="004B7C06">
        <w:rPr>
          <w:rFonts w:eastAsia="SimSun"/>
          <w:color w:val="000000"/>
          <w:kern w:val="3"/>
          <w:sz w:val="28"/>
          <w:szCs w:val="28"/>
          <w:lang w:eastAsia="en-US"/>
        </w:rPr>
        <w:t xml:space="preserve">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w:t>
      </w:r>
      <w:hyperlink r:id="rId8" w:history="1">
        <w:r w:rsidRPr="004B7C06">
          <w:rPr>
            <w:rFonts w:eastAsia="SimSun"/>
            <w:color w:val="000000"/>
            <w:kern w:val="3"/>
            <w:sz w:val="28"/>
            <w:szCs w:val="28"/>
            <w:lang w:eastAsia="en-US"/>
          </w:rPr>
          <w:t>https://e.lanbook.com/book/335141</w:t>
        </w:r>
      </w:hyperlink>
    </w:p>
    <w:p w:rsidR="004B7C06" w:rsidRPr="004B7C06" w:rsidRDefault="004B7C06" w:rsidP="004B7C06">
      <w:pPr>
        <w:numPr>
          <w:ilvl w:val="0"/>
          <w:numId w:val="16"/>
        </w:numPr>
        <w:tabs>
          <w:tab w:val="left" w:pos="426"/>
        </w:tabs>
        <w:suppressAutoHyphens/>
        <w:autoSpaceDN w:val="0"/>
        <w:spacing w:after="200" w:line="276" w:lineRule="auto"/>
        <w:jc w:val="both"/>
        <w:rPr>
          <w:rFonts w:eastAsia="SimSun"/>
          <w:color w:val="000000"/>
          <w:kern w:val="3"/>
          <w:sz w:val="28"/>
          <w:szCs w:val="28"/>
          <w:lang w:eastAsia="en-US"/>
        </w:rPr>
      </w:pPr>
      <w:r w:rsidRPr="004B7C06">
        <w:rPr>
          <w:rFonts w:eastAsia="SimSun"/>
          <w:color w:val="000000"/>
          <w:kern w:val="3"/>
          <w:sz w:val="28"/>
          <w:szCs w:val="28"/>
          <w:lang w:eastAsia="en-US"/>
        </w:rPr>
        <w:t xml:space="preserve">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w:t>
      </w:r>
      <w:hyperlink r:id="rId9" w:history="1">
        <w:r w:rsidRPr="004B7C06">
          <w:rPr>
            <w:rFonts w:eastAsia="SimSun"/>
            <w:color w:val="000000"/>
            <w:kern w:val="3"/>
            <w:sz w:val="28"/>
            <w:szCs w:val="28"/>
            <w:lang w:eastAsia="en-US"/>
          </w:rPr>
          <w:t>https://e.lanbook.com/book/335144</w:t>
        </w:r>
      </w:hyperlink>
    </w:p>
    <w:p w:rsidR="004B7C06" w:rsidRPr="004B7C06" w:rsidRDefault="004B7C06" w:rsidP="004B7C06">
      <w:pPr>
        <w:numPr>
          <w:ilvl w:val="0"/>
          <w:numId w:val="16"/>
        </w:numPr>
        <w:tabs>
          <w:tab w:val="left" w:pos="426"/>
        </w:tabs>
        <w:suppressAutoHyphens/>
        <w:autoSpaceDN w:val="0"/>
        <w:spacing w:after="200" w:line="276" w:lineRule="auto"/>
        <w:jc w:val="both"/>
        <w:rPr>
          <w:rFonts w:eastAsia="SimSun"/>
          <w:color w:val="000000"/>
          <w:kern w:val="3"/>
          <w:sz w:val="28"/>
          <w:szCs w:val="28"/>
          <w:lang w:eastAsia="en-US"/>
        </w:rPr>
      </w:pPr>
      <w:r w:rsidRPr="004B7C06">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4B7C06" w:rsidRPr="004B7C06" w:rsidRDefault="004B7C06" w:rsidP="004B7C06">
      <w:pPr>
        <w:numPr>
          <w:ilvl w:val="0"/>
          <w:numId w:val="16"/>
        </w:numPr>
        <w:tabs>
          <w:tab w:val="left" w:pos="426"/>
        </w:tabs>
        <w:suppressAutoHyphens/>
        <w:autoSpaceDN w:val="0"/>
        <w:spacing w:after="200" w:line="276" w:lineRule="auto"/>
        <w:jc w:val="both"/>
        <w:rPr>
          <w:rFonts w:eastAsia="SimSun"/>
          <w:color w:val="000000"/>
          <w:kern w:val="3"/>
          <w:sz w:val="28"/>
          <w:szCs w:val="28"/>
          <w:lang w:eastAsia="en-US"/>
        </w:rPr>
      </w:pPr>
      <w:r w:rsidRPr="004B7C06">
        <w:rPr>
          <w:rFonts w:eastAsia="SimSun"/>
          <w:color w:val="000000"/>
          <w:kern w:val="3"/>
          <w:sz w:val="28"/>
          <w:szCs w:val="28"/>
          <w:lang w:eastAsia="en-US"/>
        </w:rPr>
        <w:t xml:space="preserve">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w:t>
      </w:r>
      <w:hyperlink r:id="rId10" w:history="1">
        <w:r w:rsidRPr="004B7C06">
          <w:rPr>
            <w:rFonts w:eastAsia="SimSun"/>
            <w:color w:val="000000"/>
            <w:kern w:val="3"/>
            <w:sz w:val="28"/>
            <w:szCs w:val="28"/>
            <w:lang w:eastAsia="en-US"/>
          </w:rPr>
          <w:t>https://e.lanbook.com/book/360683</w:t>
        </w:r>
      </w:hyperlink>
    </w:p>
    <w:p w:rsidR="004B7C06" w:rsidRPr="004B7C06" w:rsidRDefault="004B7C06" w:rsidP="004B7C06">
      <w:pPr>
        <w:numPr>
          <w:ilvl w:val="0"/>
          <w:numId w:val="16"/>
        </w:numPr>
        <w:tabs>
          <w:tab w:val="left" w:pos="426"/>
        </w:tabs>
        <w:suppressAutoHyphens/>
        <w:autoSpaceDN w:val="0"/>
        <w:spacing w:after="200" w:line="276" w:lineRule="auto"/>
        <w:jc w:val="both"/>
        <w:rPr>
          <w:rFonts w:eastAsia="SimSun"/>
          <w:color w:val="000000"/>
          <w:kern w:val="3"/>
          <w:sz w:val="28"/>
          <w:szCs w:val="28"/>
          <w:lang w:eastAsia="en-US"/>
        </w:rPr>
      </w:pPr>
      <w:r w:rsidRPr="004B7C06">
        <w:rPr>
          <w:rFonts w:eastAsia="SimSun"/>
          <w:color w:val="000000"/>
          <w:kern w:val="3"/>
          <w:sz w:val="28"/>
          <w:szCs w:val="28"/>
          <w:lang w:eastAsia="en-US"/>
        </w:rPr>
        <w:t xml:space="preserve">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w:t>
      </w:r>
      <w:hyperlink r:id="rId11" w:history="1">
        <w:r w:rsidRPr="004B7C06">
          <w:rPr>
            <w:rFonts w:eastAsia="SimSun"/>
            <w:color w:val="000000"/>
            <w:kern w:val="3"/>
            <w:sz w:val="28"/>
            <w:szCs w:val="28"/>
            <w:lang w:eastAsia="en-US"/>
          </w:rPr>
          <w:t>https://e.lanbook.com/book/360686</w:t>
        </w:r>
      </w:hyperlink>
    </w:p>
    <w:p w:rsidR="004B7C06" w:rsidRPr="004B7C06" w:rsidRDefault="004B7C06" w:rsidP="004B7C06">
      <w:pPr>
        <w:numPr>
          <w:ilvl w:val="0"/>
          <w:numId w:val="16"/>
        </w:numPr>
        <w:tabs>
          <w:tab w:val="left" w:pos="426"/>
        </w:tabs>
        <w:suppressAutoHyphens/>
        <w:autoSpaceDN w:val="0"/>
        <w:spacing w:after="200" w:line="276" w:lineRule="auto"/>
        <w:jc w:val="both"/>
        <w:rPr>
          <w:rFonts w:eastAsia="SimSun"/>
          <w:color w:val="000000"/>
          <w:kern w:val="3"/>
          <w:sz w:val="28"/>
          <w:szCs w:val="28"/>
          <w:lang w:eastAsia="en-US"/>
        </w:rPr>
      </w:pPr>
      <w:r w:rsidRPr="004B7C06">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4B7C06">
        <w:rPr>
          <w:rFonts w:eastAsia="SimSun"/>
          <w:color w:val="000000"/>
          <w:kern w:val="3"/>
          <w:sz w:val="28"/>
          <w:szCs w:val="28"/>
          <w:lang w:eastAsia="en-US"/>
        </w:rPr>
        <w:lastRenderedPageBreak/>
        <w:t xml:space="preserve">электронный // Лань: электронно-библиотечная система. — URL: </w:t>
      </w:r>
      <w:hyperlink r:id="rId12" w:history="1">
        <w:r w:rsidRPr="004B7C06">
          <w:rPr>
            <w:rFonts w:eastAsia="SimSun"/>
            <w:color w:val="000000"/>
            <w:kern w:val="3"/>
            <w:sz w:val="28"/>
            <w:szCs w:val="28"/>
            <w:lang w:eastAsia="en-US"/>
          </w:rPr>
          <w:t>https://e.lanbook.com/book/334958</w:t>
        </w:r>
      </w:hyperlink>
    </w:p>
    <w:p w:rsidR="004B7C06" w:rsidRPr="004B7C06" w:rsidRDefault="004B7C06" w:rsidP="004B7C06">
      <w:pPr>
        <w:numPr>
          <w:ilvl w:val="0"/>
          <w:numId w:val="16"/>
        </w:numPr>
        <w:tabs>
          <w:tab w:val="left" w:pos="426"/>
        </w:tabs>
        <w:suppressAutoHyphens/>
        <w:autoSpaceDN w:val="0"/>
        <w:spacing w:after="200" w:line="276" w:lineRule="auto"/>
        <w:jc w:val="both"/>
        <w:rPr>
          <w:rFonts w:eastAsia="SimSun"/>
          <w:color w:val="000000"/>
          <w:kern w:val="3"/>
          <w:sz w:val="28"/>
          <w:szCs w:val="28"/>
          <w:lang w:eastAsia="en-US"/>
        </w:rPr>
      </w:pPr>
      <w:r w:rsidRPr="004B7C06">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4B7C06" w:rsidRPr="004B7C06" w:rsidRDefault="004B7C06" w:rsidP="004B7C06">
      <w:pPr>
        <w:tabs>
          <w:tab w:val="left" w:pos="426"/>
        </w:tabs>
        <w:suppressAutoHyphens/>
        <w:autoSpaceDN w:val="0"/>
        <w:jc w:val="center"/>
        <w:rPr>
          <w:rFonts w:eastAsia="SimSun"/>
          <w:b/>
          <w:bCs/>
          <w:color w:val="000000"/>
          <w:kern w:val="3"/>
          <w:sz w:val="28"/>
          <w:szCs w:val="28"/>
          <w:lang w:eastAsia="en-US"/>
        </w:rPr>
      </w:pPr>
    </w:p>
    <w:p w:rsidR="004B7C06" w:rsidRPr="004B7C06" w:rsidRDefault="004B7C06" w:rsidP="004B7C06">
      <w:pPr>
        <w:tabs>
          <w:tab w:val="left" w:pos="426"/>
        </w:tabs>
        <w:suppressAutoHyphens/>
        <w:autoSpaceDN w:val="0"/>
        <w:jc w:val="center"/>
        <w:rPr>
          <w:rFonts w:eastAsia="SimSun"/>
          <w:color w:val="000000"/>
          <w:kern w:val="3"/>
          <w:sz w:val="28"/>
          <w:szCs w:val="28"/>
          <w:lang w:eastAsia="en-US"/>
        </w:rPr>
      </w:pPr>
      <w:r>
        <w:rPr>
          <w:rFonts w:eastAsia="SimSun"/>
          <w:b/>
          <w:bCs/>
          <w:color w:val="000000"/>
          <w:kern w:val="3"/>
          <w:sz w:val="28"/>
          <w:szCs w:val="28"/>
          <w:lang w:eastAsia="en-US"/>
        </w:rPr>
        <w:t>Список дополнительной литературы</w:t>
      </w:r>
      <w:r w:rsidRPr="004B7C06">
        <w:rPr>
          <w:rFonts w:eastAsia="SimSun"/>
          <w:b/>
          <w:bCs/>
          <w:color w:val="000000"/>
          <w:kern w:val="3"/>
          <w:sz w:val="28"/>
          <w:szCs w:val="28"/>
          <w:lang w:eastAsia="en-US"/>
        </w:rPr>
        <w:t>:</w:t>
      </w:r>
    </w:p>
    <w:p w:rsidR="004B7C06" w:rsidRPr="004B7C06" w:rsidRDefault="004B7C06" w:rsidP="004B7C06">
      <w:pPr>
        <w:numPr>
          <w:ilvl w:val="0"/>
          <w:numId w:val="17"/>
        </w:numPr>
        <w:tabs>
          <w:tab w:val="left" w:pos="426"/>
        </w:tabs>
        <w:suppressAutoHyphens/>
        <w:autoSpaceDN w:val="0"/>
        <w:spacing w:after="200" w:line="276" w:lineRule="auto"/>
        <w:jc w:val="both"/>
        <w:rPr>
          <w:rFonts w:eastAsia="SimSun"/>
          <w:color w:val="000000"/>
          <w:kern w:val="3"/>
          <w:sz w:val="28"/>
          <w:szCs w:val="28"/>
          <w:lang w:eastAsia="en-US"/>
        </w:rPr>
      </w:pPr>
      <w:r w:rsidRPr="004B7C06">
        <w:rPr>
          <w:rFonts w:eastAsia="SimSun"/>
          <w:color w:val="000000"/>
          <w:kern w:val="3"/>
          <w:sz w:val="28"/>
          <w:szCs w:val="28"/>
          <w:lang w:eastAsia="en-US"/>
        </w:rPr>
        <w:t xml:space="preserve">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w:t>
      </w:r>
      <w:hyperlink r:id="rId13" w:history="1">
        <w:r w:rsidRPr="004B7C06">
          <w:rPr>
            <w:rFonts w:eastAsia="SimSun"/>
            <w:color w:val="000000"/>
            <w:kern w:val="3"/>
            <w:sz w:val="28"/>
            <w:szCs w:val="28"/>
            <w:lang w:eastAsia="en-US"/>
          </w:rPr>
          <w:t>https://e.lanbook.com/book/335138</w:t>
        </w:r>
      </w:hyperlink>
    </w:p>
    <w:p w:rsidR="004B7C06" w:rsidRDefault="004B7C06" w:rsidP="004B7C06">
      <w:pPr>
        <w:numPr>
          <w:ilvl w:val="0"/>
          <w:numId w:val="17"/>
        </w:numPr>
        <w:tabs>
          <w:tab w:val="left" w:pos="426"/>
        </w:tabs>
        <w:suppressAutoHyphens/>
        <w:autoSpaceDN w:val="0"/>
        <w:spacing w:after="200" w:line="276" w:lineRule="auto"/>
        <w:jc w:val="both"/>
        <w:rPr>
          <w:rFonts w:eastAsia="SimSun"/>
          <w:color w:val="000000"/>
          <w:kern w:val="3"/>
          <w:sz w:val="28"/>
          <w:szCs w:val="28"/>
          <w:lang w:eastAsia="en-US"/>
        </w:rPr>
      </w:pPr>
      <w:r w:rsidRPr="004B7C06">
        <w:rPr>
          <w:rFonts w:eastAsia="SimSun"/>
          <w:color w:val="000000"/>
          <w:kern w:val="3"/>
          <w:sz w:val="28"/>
          <w:szCs w:val="28"/>
          <w:lang w:eastAsia="en-US"/>
        </w:rPr>
        <w:t xml:space="preserve">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w:t>
      </w:r>
      <w:hyperlink r:id="rId14" w:history="1">
        <w:r w:rsidRPr="004B7C06">
          <w:rPr>
            <w:rFonts w:eastAsia="SimSun"/>
            <w:color w:val="000000"/>
            <w:kern w:val="3"/>
            <w:sz w:val="28"/>
            <w:szCs w:val="28"/>
            <w:lang w:eastAsia="en-US"/>
          </w:rPr>
          <w:t>https://e.lanbook.com/book/334427</w:t>
        </w:r>
      </w:hyperlink>
    </w:p>
    <w:p w:rsidR="005859A8" w:rsidRPr="004B7C06" w:rsidRDefault="004B7C06" w:rsidP="004B7C06">
      <w:pPr>
        <w:numPr>
          <w:ilvl w:val="0"/>
          <w:numId w:val="17"/>
        </w:numPr>
        <w:tabs>
          <w:tab w:val="left" w:pos="426"/>
        </w:tabs>
        <w:suppressAutoHyphens/>
        <w:autoSpaceDN w:val="0"/>
        <w:spacing w:after="200" w:line="276" w:lineRule="auto"/>
        <w:jc w:val="both"/>
        <w:rPr>
          <w:rFonts w:eastAsia="SimSun"/>
          <w:color w:val="000000"/>
          <w:kern w:val="3"/>
          <w:sz w:val="28"/>
          <w:szCs w:val="28"/>
          <w:lang w:eastAsia="en-US"/>
        </w:rPr>
      </w:pPr>
      <w:r w:rsidRPr="004B7C06">
        <w:rPr>
          <w:rFonts w:eastAsia="SimSun"/>
          <w:sz w:val="28"/>
          <w:szCs w:val="28"/>
        </w:rPr>
        <w:t>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w:t>
      </w: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E6C" w:rsidRDefault="00432E6C">
      <w:r>
        <w:separator/>
      </w:r>
    </w:p>
  </w:endnote>
  <w:endnote w:type="continuationSeparator" w:id="0">
    <w:p w:rsidR="00432E6C" w:rsidRDefault="0043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474C28">
          <w:rPr>
            <w:noProof/>
          </w:rPr>
          <w:t>5</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E6C" w:rsidRDefault="00432E6C">
      <w:r>
        <w:separator/>
      </w:r>
    </w:p>
  </w:footnote>
  <w:footnote w:type="continuationSeparator" w:id="0">
    <w:p w:rsidR="00432E6C" w:rsidRDefault="00432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04594E"/>
    <w:multiLevelType w:val="hybridMultilevel"/>
    <w:tmpl w:val="982C4D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A65DD0"/>
    <w:multiLevelType w:val="hybridMultilevel"/>
    <w:tmpl w:val="38AA46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9"/>
  </w:num>
  <w:num w:numId="2">
    <w:abstractNumId w:val="12"/>
  </w:num>
  <w:num w:numId="3">
    <w:abstractNumId w:val="10"/>
  </w:num>
  <w:num w:numId="4">
    <w:abstractNumId w:val="11"/>
  </w:num>
  <w:num w:numId="5">
    <w:abstractNumId w:val="5"/>
  </w:num>
  <w:num w:numId="6">
    <w:abstractNumId w:val="0"/>
  </w:num>
  <w:num w:numId="7">
    <w:abstractNumId w:val="1"/>
  </w:num>
  <w:num w:numId="8">
    <w:abstractNumId w:val="4"/>
  </w:num>
  <w:num w:numId="9">
    <w:abstractNumId w:val="6"/>
  </w:num>
  <w:num w:numId="10">
    <w:abstractNumId w:val="3"/>
  </w:num>
  <w:num w:numId="11">
    <w:abstractNumId w:val="15"/>
  </w:num>
  <w:num w:numId="12">
    <w:abstractNumId w:val="16"/>
  </w:num>
  <w:num w:numId="13">
    <w:abstractNumId w:val="13"/>
  </w:num>
  <w:num w:numId="14">
    <w:abstractNumId w:val="2"/>
  </w:num>
  <w:num w:numId="15">
    <w:abstractNumId w:val="8"/>
  </w:num>
  <w:num w:numId="16">
    <w:abstractNumId w:val="14"/>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6C"/>
    <w:rsid w:val="00432EA3"/>
    <w:rsid w:val="00433FB6"/>
    <w:rsid w:val="00444617"/>
    <w:rsid w:val="0045051B"/>
    <w:rsid w:val="00455774"/>
    <w:rsid w:val="00462841"/>
    <w:rsid w:val="00465128"/>
    <w:rsid w:val="00466444"/>
    <w:rsid w:val="00474C28"/>
    <w:rsid w:val="00476876"/>
    <w:rsid w:val="00492248"/>
    <w:rsid w:val="00492D88"/>
    <w:rsid w:val="00495F58"/>
    <w:rsid w:val="004A0B37"/>
    <w:rsid w:val="004A4038"/>
    <w:rsid w:val="004A5038"/>
    <w:rsid w:val="004B0283"/>
    <w:rsid w:val="004B2575"/>
    <w:rsid w:val="004B4213"/>
    <w:rsid w:val="004B697F"/>
    <w:rsid w:val="004B7C06"/>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2A38"/>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C8EC4-D99F-46B0-BE74-9867D1B2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35141" TargetMode="External"/><Relationship Id="rId13" Type="http://schemas.openxmlformats.org/officeDocument/2006/relationships/hyperlink" Target="https://e.lanbook.com/book/3351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3349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36068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anbook.com/book/360683" TargetMode="External"/><Relationship Id="rId4" Type="http://schemas.openxmlformats.org/officeDocument/2006/relationships/settings" Target="settings.xml"/><Relationship Id="rId9" Type="http://schemas.openxmlformats.org/officeDocument/2006/relationships/hyperlink" Target="https://e.lanbook.com/book/335144" TargetMode="External"/><Relationship Id="rId14" Type="http://schemas.openxmlformats.org/officeDocument/2006/relationships/hyperlink" Target="https://e.lanbook.com/book/334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8FB9F-6159-4341-866B-86CADC6C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25885</Words>
  <Characters>147547</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4</cp:revision>
  <cp:lastPrinted>2023-06-18T19:04:00Z</cp:lastPrinted>
  <dcterms:created xsi:type="dcterms:W3CDTF">2024-01-09T10:27:00Z</dcterms:created>
  <dcterms:modified xsi:type="dcterms:W3CDTF">2024-01-29T07:41:00Z</dcterms:modified>
</cp:coreProperties>
</file>