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7373A9" w:rsidRDefault="007373A9" w:rsidP="004A5038">
      <w:pPr>
        <w:suppressAutoHyphens/>
        <w:spacing w:line="276" w:lineRule="auto"/>
        <w:jc w:val="center"/>
        <w:rPr>
          <w:rFonts w:eastAsiaTheme="minorHAnsi"/>
          <w:bCs/>
          <w:sz w:val="28"/>
          <w:szCs w:val="28"/>
          <w:lang w:eastAsia="en-US"/>
        </w:rPr>
      </w:pPr>
      <w:r w:rsidRPr="007373A9">
        <w:rPr>
          <w:rFonts w:eastAsiaTheme="minorHAnsi"/>
          <w:bCs/>
          <w:sz w:val="28"/>
          <w:szCs w:val="28"/>
          <w:lang w:eastAsia="en-US"/>
        </w:rPr>
        <w:t xml:space="preserve">10.02.05 </w:t>
      </w:r>
      <w:r>
        <w:rPr>
          <w:rFonts w:eastAsiaTheme="minorHAnsi"/>
          <w:bCs/>
          <w:sz w:val="28"/>
          <w:szCs w:val="28"/>
          <w:lang w:eastAsia="en-US"/>
        </w:rPr>
        <w:t>«</w:t>
      </w:r>
      <w:r w:rsidRPr="007373A9">
        <w:rPr>
          <w:rFonts w:eastAsiaTheme="minorHAnsi"/>
          <w:bCs/>
          <w:sz w:val="28"/>
          <w:szCs w:val="28"/>
          <w:lang w:eastAsia="en-US"/>
        </w:rPr>
        <w:t xml:space="preserve">Обеспечение информационной безопасности </w:t>
      </w:r>
    </w:p>
    <w:p w:rsidR="00B05758" w:rsidRPr="008954CB" w:rsidRDefault="007373A9" w:rsidP="004A5038">
      <w:pPr>
        <w:suppressAutoHyphens/>
        <w:spacing w:line="276" w:lineRule="auto"/>
        <w:jc w:val="center"/>
        <w:rPr>
          <w:sz w:val="28"/>
          <w:szCs w:val="28"/>
        </w:rPr>
      </w:pPr>
      <w:r w:rsidRPr="007373A9">
        <w:rPr>
          <w:rFonts w:eastAsiaTheme="minorHAnsi"/>
          <w:bCs/>
          <w:sz w:val="28"/>
          <w:szCs w:val="28"/>
          <w:lang w:eastAsia="en-US"/>
        </w:rPr>
        <w:t>автоматизированных систем</w:t>
      </w:r>
      <w:r>
        <w:rPr>
          <w:rFonts w:eastAsiaTheme="minorHAnsi"/>
          <w:bCs/>
          <w:sz w:val="28"/>
          <w:szCs w:val="28"/>
          <w:lang w:eastAsia="en-US"/>
        </w:rPr>
        <w:t>»</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7373A9">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F6CFE-4F04-4BA5-9F9D-E15C4A34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25502</Words>
  <Characters>145362</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2023-09-19T06:44:00Z</dcterms:created>
  <dcterms:modified xsi:type="dcterms:W3CDTF">2023-09-19T06:44:00Z</dcterms:modified>
</cp:coreProperties>
</file>