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FF0DE3" w:rsidP="0014700D">
      <w:pPr>
        <w:spacing w:line="360" w:lineRule="auto"/>
        <w:jc w:val="center"/>
        <w:rPr>
          <w:sz w:val="28"/>
          <w:szCs w:val="28"/>
        </w:rPr>
      </w:pPr>
      <w:r w:rsidRPr="00FF0DE3">
        <w:rPr>
          <w:sz w:val="28"/>
          <w:szCs w:val="28"/>
        </w:rPr>
        <w:t>43.02.17 Технологии индустрии красоты</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B74" w:rsidRDefault="00AE0B7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E0B74" w:rsidRDefault="00AE0B7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 xml:space="preserve">Проявляющий и демонстрирующий уважение к представителям различных этнокультурных, </w:t>
      </w:r>
      <w:r w:rsidRPr="00AD7960">
        <w:rPr>
          <w:sz w:val="22"/>
          <w:szCs w:val="22"/>
        </w:rPr>
        <w:lastRenderedPageBreak/>
        <w:t>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lastRenderedPageBreak/>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C87CFD" w:rsidRDefault="00C87CFD" w:rsidP="00C87CFD"/>
    <w:p w:rsidR="00C87CFD" w:rsidRDefault="00C87CFD" w:rsidP="00C87CFD"/>
    <w:p w:rsidR="00C87CFD" w:rsidRDefault="00C87CFD" w:rsidP="00C87CFD"/>
    <w:p w:rsidR="00C87CFD" w:rsidRDefault="00C87CFD" w:rsidP="00C87CFD"/>
    <w:p w:rsidR="00C87CFD" w:rsidRDefault="00C87CFD" w:rsidP="00C87CFD"/>
    <w:p w:rsidR="00C87CFD" w:rsidRDefault="00C87CFD" w:rsidP="00C87CFD"/>
    <w:p w:rsidR="00C87CFD" w:rsidRPr="00C87CFD" w:rsidRDefault="00C87CFD" w:rsidP="00C87CFD"/>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11</w:t>
            </w:r>
            <w:r w:rsidR="00C87CFD">
              <w:rPr>
                <w:sz w:val="20"/>
                <w:szCs w:val="20"/>
              </w:rPr>
              <w:t>,12</w:t>
            </w:r>
            <w:r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r w:rsidR="00C87CFD">
              <w:rPr>
                <w:sz w:val="20"/>
                <w:szCs w:val="20"/>
              </w:rPr>
              <w:t>. Часть 1,2</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C87CFD" w:rsidRPr="00C87CFD">
              <w:rPr>
                <w:sz w:val="20"/>
                <w:szCs w:val="20"/>
              </w:rPr>
              <w:t>«Идеальный работник индустрии красоты. Как стать профессионалом».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w:t>
            </w:r>
            <w:r w:rsidR="00C87CFD">
              <w:rPr>
                <w:sz w:val="20"/>
                <w:szCs w:val="20"/>
              </w:rPr>
              <w:t xml:space="preserve">14, </w:t>
            </w:r>
            <w:r w:rsidRPr="009D1FCB">
              <w:rPr>
                <w:sz w:val="20"/>
                <w:szCs w:val="20"/>
              </w:rPr>
              <w:t>15.Зарубежная литература</w:t>
            </w:r>
            <w:r w:rsidR="00C4507A" w:rsidRPr="009D1FCB">
              <w:rPr>
                <w:sz w:val="20"/>
                <w:szCs w:val="20"/>
              </w:rPr>
              <w:t>. Изучение творчества О.</w:t>
            </w:r>
            <w:r w:rsidR="00C87CFD">
              <w:rPr>
                <w:sz w:val="20"/>
                <w:szCs w:val="20"/>
              </w:rPr>
              <w:t xml:space="preserve"> </w:t>
            </w:r>
            <w:r w:rsidR="00C4507A" w:rsidRPr="009D1FCB">
              <w:rPr>
                <w:sz w:val="20"/>
                <w:szCs w:val="20"/>
              </w:rPr>
              <w:t>Уайльда. Роман «Портрет Дориана Грея»</w:t>
            </w:r>
            <w:r w:rsidR="00C87CFD">
              <w:rPr>
                <w:sz w:val="20"/>
                <w:szCs w:val="20"/>
              </w:rPr>
              <w:t>. Часть 1,2</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C87CFD" w:rsidP="00E345F2">
            <w:pPr>
              <w:rPr>
                <w:sz w:val="20"/>
                <w:szCs w:val="20"/>
              </w:rPr>
            </w:pPr>
            <w:r>
              <w:rPr>
                <w:sz w:val="20"/>
                <w:szCs w:val="20"/>
              </w:rPr>
              <w:t>95</w:t>
            </w:r>
            <w:bookmarkStart w:id="1" w:name="_GoBack"/>
            <w:bookmarkEnd w:id="1"/>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C87CFD" w:rsidP="00E345F2">
            <w:pPr>
              <w:rPr>
                <w:sz w:val="20"/>
                <w:szCs w:val="20"/>
              </w:rPr>
            </w:pPr>
            <w:r>
              <w:rPr>
                <w:sz w:val="20"/>
                <w:szCs w:val="20"/>
              </w:rPr>
              <w:t>97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C87CFD" w:rsidP="00E345F2">
            <w:pPr>
              <w:rPr>
                <w:sz w:val="20"/>
                <w:szCs w:val="20"/>
              </w:rPr>
            </w:pPr>
            <w:r>
              <w:rPr>
                <w:sz w:val="20"/>
                <w:szCs w:val="20"/>
              </w:rPr>
              <w:t>98</w:t>
            </w:r>
          </w:p>
        </w:tc>
      </w:tr>
    </w:tbl>
    <w:p w:rsidR="00F30B91" w:rsidRDefault="00F30B91" w:rsidP="00F30B91"/>
    <w:p w:rsidR="00C87CFD" w:rsidRDefault="00C87CFD" w:rsidP="007D5C9D">
      <w:pPr>
        <w:jc w:val="center"/>
        <w:rPr>
          <w:b/>
          <w:sz w:val="22"/>
          <w:szCs w:val="22"/>
        </w:rPr>
      </w:pPr>
    </w:p>
    <w:p w:rsidR="00C87CFD" w:rsidRDefault="00C87CFD" w:rsidP="007D5C9D">
      <w:pPr>
        <w:jc w:val="center"/>
        <w:rPr>
          <w:b/>
          <w:sz w:val="22"/>
          <w:szCs w:val="22"/>
        </w:rPr>
      </w:pPr>
    </w:p>
    <w:p w:rsidR="00C87CFD" w:rsidRDefault="00C87CFD" w:rsidP="007D5C9D">
      <w:pPr>
        <w:jc w:val="center"/>
        <w:rPr>
          <w:b/>
          <w:sz w:val="22"/>
          <w:szCs w:val="22"/>
        </w:rPr>
      </w:pPr>
    </w:p>
    <w:p w:rsidR="00C87CFD" w:rsidRDefault="00C87CFD"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lastRenderedPageBreak/>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lastRenderedPageBreak/>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w:t>
      </w:r>
      <w:r w:rsidRPr="004D489F">
        <w:rPr>
          <w:sz w:val="22"/>
          <w:szCs w:val="22"/>
        </w:rPr>
        <w:lastRenderedPageBreak/>
        <w:t>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 xml:space="preserve">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w:t>
      </w:r>
      <w:r w:rsidRPr="00DC24D3">
        <w:rPr>
          <w:sz w:val="22"/>
          <w:szCs w:val="22"/>
        </w:rPr>
        <w:lastRenderedPageBreak/>
        <w:t>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lastRenderedPageBreak/>
        <w:t>Практическое занятие № 11</w:t>
      </w:r>
      <w:r w:rsidR="00C87CFD">
        <w:rPr>
          <w:b/>
          <w:color w:val="000000" w:themeColor="text1"/>
          <w:sz w:val="22"/>
          <w:szCs w:val="22"/>
        </w:rPr>
        <w:t>,12</w:t>
      </w:r>
      <w:r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r w:rsidR="00C87CFD">
        <w:rPr>
          <w:color w:val="000000" w:themeColor="text1"/>
          <w:sz w:val="22"/>
          <w:szCs w:val="22"/>
        </w:rPr>
        <w:t>. Часть 1,2</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lastRenderedPageBreak/>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205902" w:rsidRPr="00C87CFD" w:rsidRDefault="00C51B9C" w:rsidP="00C87CFD">
      <w:pPr>
        <w:jc w:val="both"/>
        <w:rPr>
          <w:sz w:val="22"/>
          <w:szCs w:val="22"/>
        </w:rPr>
      </w:pPr>
      <w:r>
        <w:rPr>
          <w:sz w:val="22"/>
          <w:szCs w:val="22"/>
        </w:rPr>
        <w:t>- Стихотворение «Поэт» Г. Тукая</w:t>
      </w: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t>Практическо</w:t>
      </w:r>
      <w:r w:rsidR="00C87CFD">
        <w:rPr>
          <w:b/>
          <w:sz w:val="22"/>
          <w:szCs w:val="22"/>
        </w:rPr>
        <w:t>е занятие № 13</w:t>
      </w:r>
      <w:r w:rsidRPr="00C73C14">
        <w:rPr>
          <w:b/>
          <w:sz w:val="22"/>
          <w:szCs w:val="22"/>
        </w:rPr>
        <w:t xml:space="preserve">. </w:t>
      </w:r>
    </w:p>
    <w:p w:rsidR="00C87CFD" w:rsidRDefault="00C87CFD" w:rsidP="00205902">
      <w:pPr>
        <w:jc w:val="center"/>
        <w:rPr>
          <w:sz w:val="22"/>
          <w:szCs w:val="22"/>
        </w:rPr>
      </w:pPr>
      <w:r w:rsidRPr="00C87CFD">
        <w:rPr>
          <w:sz w:val="22"/>
          <w:szCs w:val="22"/>
        </w:rPr>
        <w:t>«Идеальный работник индустрии красоты. Как стать профессионалом».</w:t>
      </w:r>
    </w:p>
    <w:p w:rsidR="00DC24D3" w:rsidRPr="00DC24D3" w:rsidRDefault="00C87CFD" w:rsidP="00DC24D3">
      <w:pPr>
        <w:jc w:val="center"/>
        <w:rPr>
          <w:sz w:val="22"/>
          <w:szCs w:val="22"/>
        </w:rPr>
      </w:pPr>
      <w:r w:rsidRPr="005959C0">
        <w:rPr>
          <w:sz w:val="22"/>
          <w:szCs w:val="22"/>
        </w:rPr>
        <w:t xml:space="preserve"> </w:t>
      </w:r>
      <w:r w:rsidR="00205902" w:rsidRPr="005959C0">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C87CFD">
        <w:rPr>
          <w:sz w:val="22"/>
          <w:szCs w:val="22"/>
        </w:rPr>
        <w:t>работник индустрии красоты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C87CFD">
        <w:rPr>
          <w:sz w:val="22"/>
          <w:szCs w:val="22"/>
        </w:rPr>
        <w:t>индустрия красоты</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C87CFD">
        <w:rPr>
          <w:sz w:val="22"/>
          <w:szCs w:val="22"/>
        </w:rPr>
        <w:t>индустрии красоты</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C87CFD" w:rsidP="00C73C14">
      <w:pPr>
        <w:jc w:val="center"/>
        <w:rPr>
          <w:b/>
          <w:color w:val="000000" w:themeColor="text1"/>
          <w:sz w:val="22"/>
          <w:szCs w:val="22"/>
        </w:rPr>
      </w:pPr>
      <w:r>
        <w:rPr>
          <w:b/>
          <w:color w:val="000000" w:themeColor="text1"/>
          <w:sz w:val="22"/>
          <w:szCs w:val="22"/>
        </w:rPr>
        <w:t>Практическое занятие № 14,15</w:t>
      </w:r>
      <w:r w:rsidR="00C73C14" w:rsidRPr="00C4507A">
        <w:rPr>
          <w:b/>
          <w:color w:val="000000" w:themeColor="text1"/>
          <w:sz w:val="22"/>
          <w:szCs w:val="22"/>
        </w:rPr>
        <w:t>.</w:t>
      </w:r>
    </w:p>
    <w:p w:rsidR="00C87CFD"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r w:rsidR="00C87CFD">
        <w:rPr>
          <w:rFonts w:ascii="Times New Roman" w:hAnsi="Times New Roman"/>
          <w:b w:val="0"/>
          <w:bCs w:val="0"/>
          <w:color w:val="000000" w:themeColor="text1"/>
          <w:kern w:val="0"/>
          <w:sz w:val="22"/>
          <w:szCs w:val="22"/>
        </w:rPr>
        <w:t xml:space="preserve">. </w:t>
      </w:r>
    </w:p>
    <w:p w:rsidR="00C4507A" w:rsidRPr="00C4507A" w:rsidRDefault="00C87CFD"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Pr>
          <w:rFonts w:ascii="Times New Roman" w:hAnsi="Times New Roman"/>
          <w:b w:val="0"/>
          <w:bCs w:val="0"/>
          <w:color w:val="000000" w:themeColor="text1"/>
          <w:kern w:val="0"/>
          <w:sz w:val="22"/>
          <w:szCs w:val="22"/>
        </w:rPr>
        <w:t>Часть 1,2</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lastRenderedPageBreak/>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w:t>
      </w:r>
      <w:r w:rsidRPr="00C51B9C">
        <w:rPr>
          <w:rFonts w:ascii="Times New Roman" w:hAnsi="Times New Roman"/>
          <w:b w:val="0"/>
          <w:sz w:val="22"/>
          <w:szCs w:val="22"/>
        </w:rPr>
        <w:lastRenderedPageBreak/>
        <w:t xml:space="preserve">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lastRenderedPageBreak/>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lastRenderedPageBreak/>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w:t>
      </w:r>
      <w:r w:rsidRPr="008076CC">
        <w:rPr>
          <w:color w:val="000000" w:themeColor="text1"/>
          <w:sz w:val="22"/>
          <w:szCs w:val="22"/>
        </w:rPr>
        <w:lastRenderedPageBreak/>
        <w:t xml:space="preserve">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BE204A"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lastRenderedPageBreak/>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r>
      <w:r w:rsidRPr="008076CC">
        <w:rPr>
          <w:color w:val="000000" w:themeColor="text1"/>
          <w:sz w:val="22"/>
          <w:szCs w:val="22"/>
        </w:rPr>
        <w:lastRenderedPageBreak/>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lastRenderedPageBreak/>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w:t>
      </w:r>
      <w:r w:rsidRPr="00E718FF">
        <w:rPr>
          <w:sz w:val="22"/>
          <w:szCs w:val="22"/>
        </w:rPr>
        <w:lastRenderedPageBreak/>
        <w:t>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lastRenderedPageBreak/>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w:t>
      </w:r>
      <w:r w:rsidRPr="007E203A">
        <w:rPr>
          <w:iCs/>
          <w:color w:val="000000" w:themeColor="text1"/>
          <w:sz w:val="22"/>
          <w:szCs w:val="22"/>
        </w:rPr>
        <w:lastRenderedPageBreak/>
        <w:t>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lastRenderedPageBreak/>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sidRPr="007958CE">
        <w:rPr>
          <w:bCs/>
          <w:color w:val="000000" w:themeColor="text1"/>
          <w:sz w:val="22"/>
          <w:szCs w:val="22"/>
        </w:rPr>
        <w:lastRenderedPageBreak/>
        <w:t>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lastRenderedPageBreak/>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lastRenderedPageBreak/>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lastRenderedPageBreak/>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BE204A"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BE204A"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lastRenderedPageBreak/>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lastRenderedPageBreak/>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lastRenderedPageBreak/>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lastRenderedPageBreak/>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lastRenderedPageBreak/>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lastRenderedPageBreak/>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lastRenderedPageBreak/>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w:t>
      </w:r>
      <w:r w:rsidRPr="00D92C11">
        <w:rPr>
          <w:color w:val="000000"/>
          <w:sz w:val="22"/>
          <w:szCs w:val="22"/>
        </w:rPr>
        <w:lastRenderedPageBreak/>
        <w:t>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 xml:space="preserve">«Я не ожидаю от вас справедливости. Вы можете меня расстрелять, выслать, </w:t>
      </w:r>
      <w:r w:rsidRPr="00CC7300">
        <w:rPr>
          <w:iCs/>
          <w:color w:val="000000" w:themeColor="text1"/>
          <w:sz w:val="22"/>
          <w:szCs w:val="22"/>
        </w:rPr>
        <w:lastRenderedPageBreak/>
        <w:t>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r>
      <w:r w:rsidRPr="00B945FD">
        <w:rPr>
          <w:color w:val="000000" w:themeColor="text1"/>
          <w:sz w:val="22"/>
          <w:szCs w:val="22"/>
        </w:rPr>
        <w:lastRenderedPageBreak/>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 xml:space="preserve">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w:t>
      </w:r>
      <w:r w:rsidRPr="00637214">
        <w:rPr>
          <w:sz w:val="22"/>
          <w:szCs w:val="22"/>
        </w:rPr>
        <w:lastRenderedPageBreak/>
        <w:t>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lastRenderedPageBreak/>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w:t>
      </w:r>
      <w:r w:rsidRPr="000D0108">
        <w:rPr>
          <w:sz w:val="22"/>
          <w:szCs w:val="22"/>
        </w:rPr>
        <w:lastRenderedPageBreak/>
        <w:t>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lastRenderedPageBreak/>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w:t>
      </w:r>
      <w:r w:rsidRPr="00D83BD6">
        <w:rPr>
          <w:sz w:val="22"/>
          <w:szCs w:val="22"/>
        </w:rPr>
        <w:lastRenderedPageBreak/>
        <w:t>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 xml:space="preserve">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w:t>
      </w:r>
      <w:r w:rsidRPr="00D83BD6">
        <w:rPr>
          <w:sz w:val="22"/>
          <w:szCs w:val="22"/>
        </w:rPr>
        <w:lastRenderedPageBreak/>
        <w:t>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w:t>
      </w:r>
      <w:r w:rsidRPr="00D83BD6">
        <w:rPr>
          <w:sz w:val="22"/>
          <w:szCs w:val="22"/>
        </w:rPr>
        <w:lastRenderedPageBreak/>
        <w:t>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lastRenderedPageBreak/>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w:t>
      </w:r>
      <w:r w:rsidRPr="000B4891">
        <w:rPr>
          <w:sz w:val="22"/>
          <w:szCs w:val="22"/>
        </w:rPr>
        <w:lastRenderedPageBreak/>
        <w:t>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w:t>
      </w:r>
      <w:r w:rsidRPr="000B4891">
        <w:rPr>
          <w:sz w:val="22"/>
          <w:szCs w:val="22"/>
        </w:rPr>
        <w:lastRenderedPageBreak/>
        <w:t>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w:t>
      </w:r>
      <w:r w:rsidRPr="0032527D">
        <w:rPr>
          <w:sz w:val="22"/>
          <w:szCs w:val="22"/>
        </w:rPr>
        <w:lastRenderedPageBreak/>
        <w:t>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 xml:space="preserve">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w:t>
      </w:r>
      <w:r w:rsidRPr="0032527D">
        <w:rPr>
          <w:sz w:val="22"/>
          <w:szCs w:val="22"/>
        </w:rPr>
        <w:lastRenderedPageBreak/>
        <w:t>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w:t>
      </w:r>
      <w:r w:rsidRPr="0032527D">
        <w:rPr>
          <w:sz w:val="22"/>
          <w:szCs w:val="22"/>
        </w:rPr>
        <w:lastRenderedPageBreak/>
        <w:t>«Смерть».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lastRenderedPageBreak/>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lastRenderedPageBreak/>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lastRenderedPageBreak/>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36597F">
        <w:tc>
          <w:tcPr>
            <w:tcW w:w="9345" w:type="dxa"/>
            <w:gridSpan w:val="2"/>
          </w:tcPr>
          <w:p w:rsidR="001B3FEA" w:rsidRDefault="001B3FEA" w:rsidP="001B3FEA">
            <w:pPr>
              <w:jc w:val="center"/>
              <w:rPr>
                <w:sz w:val="22"/>
                <w:szCs w:val="22"/>
              </w:rPr>
            </w:pPr>
            <w:r>
              <w:rPr>
                <w:sz w:val="22"/>
                <w:szCs w:val="22"/>
              </w:rPr>
              <w:lastRenderedPageBreak/>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C87CFD" w:rsidRDefault="00C87CF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4A" w:rsidRDefault="00BE204A" w:rsidP="00BB52EB">
      <w:r>
        <w:separator/>
      </w:r>
    </w:p>
  </w:endnote>
  <w:endnote w:type="continuationSeparator" w:id="0">
    <w:p w:rsidR="00BE204A" w:rsidRDefault="00BE204A"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AE0B74" w:rsidRDefault="00AE0B74">
        <w:pPr>
          <w:pStyle w:val="a8"/>
          <w:jc w:val="center"/>
        </w:pPr>
        <w:r>
          <w:fldChar w:fldCharType="begin"/>
        </w:r>
        <w:r>
          <w:instrText xml:space="preserve"> PAGE   \* MERGEFORMAT </w:instrText>
        </w:r>
        <w:r>
          <w:fldChar w:fldCharType="separate"/>
        </w:r>
        <w:r w:rsidR="00C87CFD">
          <w:rPr>
            <w:noProof/>
          </w:rPr>
          <w:t>8</w:t>
        </w:r>
        <w:r>
          <w:rPr>
            <w:noProof/>
          </w:rPr>
          <w:fldChar w:fldCharType="end"/>
        </w:r>
      </w:p>
    </w:sdtContent>
  </w:sdt>
  <w:p w:rsidR="00AE0B74" w:rsidRDefault="00AE0B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4A" w:rsidRDefault="00BE204A" w:rsidP="00BB52EB">
      <w:r>
        <w:separator/>
      </w:r>
    </w:p>
  </w:footnote>
  <w:footnote w:type="continuationSeparator" w:id="0">
    <w:p w:rsidR="00BE204A" w:rsidRDefault="00BE204A"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BE204A"/>
    <w:rsid w:val="00C0409C"/>
    <w:rsid w:val="00C1165C"/>
    <w:rsid w:val="00C32463"/>
    <w:rsid w:val="00C35848"/>
    <w:rsid w:val="00C4507A"/>
    <w:rsid w:val="00C51B9C"/>
    <w:rsid w:val="00C60C84"/>
    <w:rsid w:val="00C63C3C"/>
    <w:rsid w:val="00C640F9"/>
    <w:rsid w:val="00C6420C"/>
    <w:rsid w:val="00C73C14"/>
    <w:rsid w:val="00C76961"/>
    <w:rsid w:val="00C84C5F"/>
    <w:rsid w:val="00C87CFD"/>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 w:val="00FF0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98</Pages>
  <Words>42917</Words>
  <Characters>244627</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3</cp:revision>
  <dcterms:created xsi:type="dcterms:W3CDTF">2023-08-14T10:50:00Z</dcterms:created>
  <dcterms:modified xsi:type="dcterms:W3CDTF">2023-08-14T10:55:00Z</dcterms:modified>
</cp:coreProperties>
</file>