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B8256C" w:rsidRDefault="00B8256C" w:rsidP="0014700D">
      <w:pPr>
        <w:spacing w:line="360" w:lineRule="auto"/>
        <w:jc w:val="center"/>
        <w:rPr>
          <w:sz w:val="28"/>
          <w:szCs w:val="28"/>
        </w:rPr>
      </w:pPr>
      <w:r>
        <w:rPr>
          <w:sz w:val="28"/>
          <w:szCs w:val="28"/>
        </w:rPr>
        <w:t xml:space="preserve">10.02.05 «Обеспечение информационной безопасности </w:t>
      </w:r>
    </w:p>
    <w:p w:rsidR="0014700D" w:rsidRPr="0014700D" w:rsidRDefault="00B8256C" w:rsidP="0014700D">
      <w:pPr>
        <w:spacing w:line="360" w:lineRule="auto"/>
        <w:jc w:val="center"/>
        <w:rPr>
          <w:sz w:val="28"/>
          <w:szCs w:val="28"/>
        </w:rPr>
      </w:pPr>
      <w:r>
        <w:rPr>
          <w:sz w:val="28"/>
          <w:szCs w:val="28"/>
        </w:rPr>
        <w:t>автоматизированных систем</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B74" w:rsidRDefault="00AE0B74"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AE0B74" w:rsidRDefault="00AE0B74"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ЛР.01 </w:t>
      </w:r>
      <w:r w:rsidRPr="00AD7960">
        <w:rPr>
          <w:sz w:val="22"/>
          <w:szCs w:val="22"/>
        </w:rPr>
        <w:t>Осознающий себя граждани</w:t>
      </w:r>
      <w:r>
        <w:rPr>
          <w:sz w:val="22"/>
          <w:szCs w:val="22"/>
        </w:rPr>
        <w:t>ном и защитником великой страны</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lastRenderedPageBreak/>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B8256C" w:rsidRPr="00B8256C" w:rsidRDefault="00B8256C" w:rsidP="00B8256C">
      <w:pPr>
        <w:widowControl w:val="0"/>
        <w:spacing w:line="276" w:lineRule="auto"/>
        <w:jc w:val="both"/>
        <w:outlineLvl w:val="8"/>
        <w:rPr>
          <w:sz w:val="22"/>
          <w:szCs w:val="22"/>
        </w:rPr>
      </w:pPr>
      <w:r w:rsidRPr="00B8256C">
        <w:rPr>
          <w:sz w:val="22"/>
          <w:szCs w:val="22"/>
        </w:rPr>
        <w:t>ЛР.13 Демонстрирующий готовность и способность вести диалог с другими</w:t>
      </w:r>
      <w:r>
        <w:rPr>
          <w:sz w:val="22"/>
          <w:szCs w:val="22"/>
        </w:rPr>
        <w:t xml:space="preserve"> </w:t>
      </w:r>
      <w:r w:rsidRPr="00B8256C">
        <w:rPr>
          <w:sz w:val="22"/>
          <w:szCs w:val="22"/>
        </w:rPr>
        <w:t>людьми, достигать в нем взаимопонимания, находить общие цели и сотрудничать</w:t>
      </w:r>
      <w:r>
        <w:rPr>
          <w:sz w:val="22"/>
          <w:szCs w:val="22"/>
        </w:rPr>
        <w:t xml:space="preserve"> </w:t>
      </w:r>
      <w:r w:rsidRPr="00B8256C">
        <w:rPr>
          <w:sz w:val="22"/>
          <w:szCs w:val="22"/>
        </w:rPr>
        <w:t>для их достижения в профессиональной деятельности</w:t>
      </w:r>
    </w:p>
    <w:p w:rsidR="00AD7960" w:rsidRDefault="00B8256C" w:rsidP="00B8256C">
      <w:pPr>
        <w:widowControl w:val="0"/>
        <w:spacing w:line="276" w:lineRule="auto"/>
        <w:jc w:val="both"/>
        <w:outlineLvl w:val="8"/>
        <w:rPr>
          <w:sz w:val="22"/>
          <w:szCs w:val="22"/>
        </w:rPr>
      </w:pPr>
      <w:r w:rsidRPr="00B8256C">
        <w:rPr>
          <w:sz w:val="22"/>
          <w:szCs w:val="22"/>
        </w:rPr>
        <w:t>ЛР.14 Проявляющий сознательное отношение к непрерывному образованию</w:t>
      </w:r>
      <w:r>
        <w:rPr>
          <w:sz w:val="22"/>
          <w:szCs w:val="22"/>
        </w:rPr>
        <w:t xml:space="preserve"> </w:t>
      </w:r>
      <w:bookmarkStart w:id="0" w:name="_GoBack"/>
      <w:bookmarkEnd w:id="0"/>
      <w:r w:rsidRPr="00B8256C">
        <w:rPr>
          <w:sz w:val="22"/>
          <w:szCs w:val="22"/>
        </w:rPr>
        <w:t>как условию успешной профессиональной и общественной деятельности</w:t>
      </w: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lastRenderedPageBreak/>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5A4417" w:rsidP="00E345F2">
            <w:pPr>
              <w:rPr>
                <w:sz w:val="20"/>
                <w:szCs w:val="20"/>
              </w:rPr>
            </w:pPr>
            <w:r>
              <w:rPr>
                <w:sz w:val="20"/>
                <w:szCs w:val="20"/>
              </w:rPr>
              <w:t>32</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5A4417" w:rsidP="00E345F2">
            <w:pPr>
              <w:rPr>
                <w:sz w:val="20"/>
                <w:szCs w:val="20"/>
              </w:rPr>
            </w:pPr>
            <w:r>
              <w:rPr>
                <w:sz w:val="20"/>
                <w:szCs w:val="20"/>
              </w:rPr>
              <w:t>33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5A4417" w:rsidP="00E345F2">
            <w:pPr>
              <w:rPr>
                <w:sz w:val="20"/>
                <w:szCs w:val="20"/>
              </w:rPr>
            </w:pPr>
            <w:r>
              <w:rPr>
                <w:sz w:val="20"/>
                <w:szCs w:val="20"/>
              </w:rPr>
              <w:t>37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5A4417"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5A4417" w:rsidP="00E345F2">
            <w:pPr>
              <w:rPr>
                <w:sz w:val="20"/>
                <w:szCs w:val="20"/>
              </w:rPr>
            </w:pPr>
            <w:r>
              <w:rPr>
                <w:sz w:val="20"/>
                <w:szCs w:val="20"/>
              </w:rPr>
              <w:t>41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5A4417"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5A4417" w:rsidP="00E345F2">
            <w:pPr>
              <w:rPr>
                <w:sz w:val="20"/>
                <w:szCs w:val="20"/>
              </w:rPr>
            </w:pPr>
            <w:r>
              <w:rPr>
                <w:sz w:val="20"/>
                <w:szCs w:val="20"/>
              </w:rPr>
              <w:t>49</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5A4417"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5A4417" w:rsidP="00E345F2">
            <w:pPr>
              <w:rPr>
                <w:sz w:val="20"/>
                <w:szCs w:val="20"/>
              </w:rPr>
            </w:pPr>
            <w:r>
              <w:rPr>
                <w:sz w:val="20"/>
                <w:szCs w:val="20"/>
              </w:rPr>
              <w:t>64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5A4417" w:rsidP="00E345F2">
            <w:pPr>
              <w:rPr>
                <w:sz w:val="20"/>
                <w:szCs w:val="20"/>
              </w:rPr>
            </w:pPr>
            <w:r>
              <w:rPr>
                <w:sz w:val="20"/>
                <w:szCs w:val="20"/>
              </w:rPr>
              <w:t>66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5A4417" w:rsidP="00E345F2">
            <w:pPr>
              <w:rPr>
                <w:sz w:val="20"/>
                <w:szCs w:val="20"/>
              </w:rPr>
            </w:pPr>
            <w:r>
              <w:rPr>
                <w:sz w:val="20"/>
                <w:szCs w:val="20"/>
              </w:rPr>
              <w:t>67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5A4417" w:rsidP="00E345F2">
            <w:pPr>
              <w:rPr>
                <w:sz w:val="20"/>
                <w:szCs w:val="20"/>
              </w:rPr>
            </w:pPr>
            <w:r>
              <w:rPr>
                <w:sz w:val="20"/>
                <w:szCs w:val="20"/>
              </w:rPr>
              <w:t>67</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5A4417" w:rsidP="00E345F2">
            <w:pPr>
              <w:rPr>
                <w:sz w:val="20"/>
                <w:szCs w:val="20"/>
              </w:rPr>
            </w:pPr>
            <w:r>
              <w:rPr>
                <w:sz w:val="20"/>
                <w:szCs w:val="20"/>
              </w:rPr>
              <w:t>68</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5A4417" w:rsidP="00E345F2">
            <w:pPr>
              <w:rPr>
                <w:sz w:val="20"/>
                <w:szCs w:val="20"/>
              </w:rPr>
            </w:pPr>
            <w:r>
              <w:rPr>
                <w:sz w:val="20"/>
                <w:szCs w:val="20"/>
              </w:rPr>
              <w:t>69</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5A4417" w:rsidP="00E345F2">
            <w:pPr>
              <w:rPr>
                <w:sz w:val="20"/>
                <w:szCs w:val="20"/>
              </w:rPr>
            </w:pPr>
            <w:r>
              <w:rPr>
                <w:sz w:val="20"/>
                <w:szCs w:val="20"/>
              </w:rPr>
              <w:t>70</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5A4417" w:rsidP="00E345F2">
            <w:pPr>
              <w:rPr>
                <w:sz w:val="20"/>
                <w:szCs w:val="20"/>
              </w:rPr>
            </w:pPr>
            <w:r>
              <w:rPr>
                <w:sz w:val="20"/>
                <w:szCs w:val="20"/>
              </w:rPr>
              <w:t>75</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5A4417" w:rsidP="00E345F2">
            <w:pPr>
              <w:rPr>
                <w:sz w:val="20"/>
                <w:szCs w:val="20"/>
              </w:rPr>
            </w:pPr>
            <w:r>
              <w:rPr>
                <w:sz w:val="20"/>
                <w:szCs w:val="20"/>
              </w:rPr>
              <w:t>80</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5A4417" w:rsidP="00E345F2">
            <w:pPr>
              <w:rPr>
                <w:sz w:val="20"/>
                <w:szCs w:val="20"/>
              </w:rPr>
            </w:pPr>
            <w:r>
              <w:rPr>
                <w:sz w:val="20"/>
                <w:szCs w:val="20"/>
              </w:rPr>
              <w:t>84</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5A4417" w:rsidP="00E345F2">
            <w:pPr>
              <w:rPr>
                <w:sz w:val="20"/>
                <w:szCs w:val="20"/>
              </w:rPr>
            </w:pPr>
            <w:r>
              <w:rPr>
                <w:sz w:val="20"/>
                <w:szCs w:val="20"/>
              </w:rPr>
              <w:t>87</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5A4417" w:rsidP="00E345F2">
            <w:pPr>
              <w:rPr>
                <w:sz w:val="20"/>
                <w:szCs w:val="20"/>
              </w:rPr>
            </w:pPr>
            <w:r>
              <w:rPr>
                <w:sz w:val="20"/>
                <w:szCs w:val="20"/>
              </w:rPr>
              <w:t>92</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5A4417" w:rsidP="00E345F2">
            <w:pPr>
              <w:rPr>
                <w:sz w:val="20"/>
                <w:szCs w:val="20"/>
              </w:rPr>
            </w:pPr>
            <w:r>
              <w:rPr>
                <w:sz w:val="20"/>
                <w:szCs w:val="20"/>
              </w:rPr>
              <w:t>93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5A4417" w:rsidP="00E345F2">
            <w:pPr>
              <w:rPr>
                <w:sz w:val="20"/>
                <w:szCs w:val="20"/>
              </w:rPr>
            </w:pPr>
            <w:r>
              <w:rPr>
                <w:sz w:val="20"/>
                <w:szCs w:val="20"/>
              </w:rPr>
              <w:t>96</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5A4417" w:rsidP="00E345F2">
            <w:pPr>
              <w:rPr>
                <w:sz w:val="20"/>
                <w:szCs w:val="20"/>
              </w:rPr>
            </w:pPr>
            <w:r>
              <w:rPr>
                <w:sz w:val="20"/>
                <w:szCs w:val="20"/>
              </w:rPr>
              <w:t>98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5A4417" w:rsidP="00E345F2">
            <w:pPr>
              <w:rPr>
                <w:sz w:val="20"/>
                <w:szCs w:val="20"/>
              </w:rPr>
            </w:pPr>
            <w:r>
              <w:rPr>
                <w:sz w:val="20"/>
                <w:szCs w:val="20"/>
              </w:rPr>
              <w:t>99</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lastRenderedPageBreak/>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lastRenderedPageBreak/>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w:t>
      </w:r>
      <w:r w:rsidRPr="004D489F">
        <w:rPr>
          <w:sz w:val="22"/>
          <w:szCs w:val="22"/>
        </w:rPr>
        <w:lastRenderedPageBreak/>
        <w:t>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 xml:space="preserve">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w:t>
      </w:r>
      <w:r w:rsidRPr="00DC24D3">
        <w:rPr>
          <w:sz w:val="22"/>
          <w:szCs w:val="22"/>
        </w:rPr>
        <w:lastRenderedPageBreak/>
        <w:t>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lastRenderedPageBreak/>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lastRenderedPageBreak/>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205902" w:rsidP="00205902">
      <w:pPr>
        <w:jc w:val="center"/>
        <w:rPr>
          <w:b/>
          <w:sz w:val="22"/>
          <w:szCs w:val="22"/>
        </w:rPr>
      </w:pPr>
      <w:r w:rsidRPr="00C73C14">
        <w:rPr>
          <w:b/>
          <w:sz w:val="22"/>
          <w:szCs w:val="22"/>
        </w:rPr>
        <w:t>Практическое занятие № 12, 13.</w:t>
      </w:r>
    </w:p>
    <w:p w:rsidR="00205902" w:rsidRPr="00DC24D3" w:rsidRDefault="00205902" w:rsidP="00DC24D3">
      <w:pPr>
        <w:jc w:val="center"/>
        <w:rPr>
          <w:sz w:val="22"/>
          <w:szCs w:val="22"/>
        </w:rPr>
      </w:pPr>
      <w:r w:rsidRPr="00D1193C">
        <w:rPr>
          <w:sz w:val="22"/>
          <w:szCs w:val="22"/>
        </w:rPr>
        <w:t>История создания языков программирования. (Профессионально-ориентированное содержание)</w:t>
      </w:r>
      <w:r>
        <w:rPr>
          <w:sz w:val="22"/>
          <w:szCs w:val="22"/>
        </w:rPr>
        <w:t>.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lastRenderedPageBreak/>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205902" w:rsidRDefault="00205902" w:rsidP="00205902">
      <w:pPr>
        <w:jc w:val="center"/>
        <w:rPr>
          <w:sz w:val="22"/>
          <w:szCs w:val="22"/>
        </w:rPr>
      </w:pPr>
      <w:r w:rsidRPr="005959C0">
        <w:rPr>
          <w:sz w:val="22"/>
          <w:szCs w:val="22"/>
        </w:rPr>
        <w:t>«Идеальный програ</w:t>
      </w:r>
      <w:r>
        <w:rPr>
          <w:sz w:val="22"/>
          <w:szCs w:val="22"/>
        </w:rPr>
        <w:t>ммист. Как стать профессионалом</w:t>
      </w:r>
      <w:r w:rsidRPr="005959C0">
        <w:rPr>
          <w:sz w:val="22"/>
          <w:szCs w:val="22"/>
        </w:rPr>
        <w:t xml:space="preserve">» </w:t>
      </w:r>
      <w:r>
        <w:rPr>
          <w:sz w:val="22"/>
          <w:szCs w:val="22"/>
        </w:rPr>
        <w:t xml:space="preserve"> </w:t>
      </w:r>
    </w:p>
    <w:p w:rsidR="00DC24D3" w:rsidRPr="00DC24D3" w:rsidRDefault="00205902" w:rsidP="00DC24D3">
      <w:pPr>
        <w:jc w:val="center"/>
        <w:rPr>
          <w:sz w:val="22"/>
          <w:szCs w:val="22"/>
        </w:rPr>
      </w:pPr>
      <w:r w:rsidRPr="005959C0">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Актуальна ли, по вашему мнению, сфера программирования.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w:t>
      </w:r>
      <w:r w:rsidR="00C51B9C" w:rsidRPr="00C51B9C">
        <w:rPr>
          <w:rFonts w:ascii="Times New Roman" w:hAnsi="Times New Roman"/>
          <w:b w:val="0"/>
          <w:sz w:val="22"/>
          <w:szCs w:val="22"/>
        </w:rPr>
        <w:lastRenderedPageBreak/>
        <w:t>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lastRenderedPageBreak/>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lastRenderedPageBreak/>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AE0B74"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AE0B74"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AE0B74"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w:t>
      </w:r>
      <w:r w:rsidRPr="00524B4A">
        <w:rPr>
          <w:sz w:val="22"/>
          <w:szCs w:val="22"/>
        </w:rPr>
        <w:lastRenderedPageBreak/>
        <w:t xml:space="preserve">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lastRenderedPageBreak/>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sidRPr="000D0108">
        <w:rPr>
          <w:sz w:val="22"/>
          <w:szCs w:val="22"/>
        </w:rPr>
        <w:lastRenderedPageBreak/>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lastRenderedPageBreak/>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w:t>
      </w:r>
      <w:r w:rsidRPr="005B74A8">
        <w:rPr>
          <w:color w:val="000000" w:themeColor="text1"/>
          <w:sz w:val="22"/>
          <w:szCs w:val="22"/>
        </w:rPr>
        <w:t xml:space="preserve"> в этот период</w:t>
      </w:r>
      <w:r w:rsidRPr="005B74A8">
        <w:rPr>
          <w:color w:val="000000" w:themeColor="text1"/>
          <w:sz w:val="22"/>
          <w:szCs w:val="22"/>
        </w:rPr>
        <w:t>?</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w:t>
      </w:r>
      <w:r w:rsidRPr="005B74A8">
        <w:rPr>
          <w:color w:val="000000" w:themeColor="text1"/>
          <w:sz w:val="22"/>
          <w:szCs w:val="22"/>
        </w:rPr>
        <w:t>.</w:t>
      </w:r>
      <w:r w:rsidRPr="005B74A8">
        <w:rPr>
          <w:color w:val="000000" w:themeColor="text1"/>
          <w:sz w:val="22"/>
          <w:szCs w:val="22"/>
        </w:rPr>
        <w:t xml:space="preserve">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36597F">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Жизненный и творческий путь </w:t>
      </w:r>
      <w:r w:rsidRPr="00886091">
        <w:rPr>
          <w:rFonts w:ascii="Times New Roman" w:hAnsi="Times New Roman"/>
          <w:kern w:val="32"/>
        </w:rPr>
        <w:t xml:space="preserve">  Н.С. Лесков</w:t>
      </w:r>
      <w:r w:rsidRPr="00886091">
        <w:rPr>
          <w:rFonts w:ascii="Times New Roman" w:hAnsi="Times New Roman"/>
          <w:kern w:val="32"/>
        </w:rPr>
        <w:t>а</w:t>
      </w:r>
      <w:r w:rsidRPr="00886091">
        <w:rPr>
          <w:rFonts w:ascii="Times New Roman" w:hAnsi="Times New Roman"/>
          <w:kern w:val="32"/>
        </w:rPr>
        <w:t xml:space="preserve">. </w:t>
      </w:r>
      <w:r w:rsidRPr="00886091">
        <w:rPr>
          <w:rFonts w:ascii="Times New Roman" w:hAnsi="Times New Roman"/>
          <w:kern w:val="32"/>
        </w:rPr>
        <w:t xml:space="preserve">Характеристика повести </w:t>
      </w:r>
      <w:r w:rsidRPr="00886091">
        <w:rPr>
          <w:rFonts w:ascii="Times New Roman" w:hAnsi="Times New Roman"/>
          <w:kern w:val="32"/>
        </w:rPr>
        <w:t>«Очарованный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w:t>
      </w:r>
      <w:r w:rsidRPr="00886091">
        <w:rPr>
          <w:rFonts w:ascii="Times New Roman" w:hAnsi="Times New Roman"/>
          <w:kern w:val="32"/>
        </w:rPr>
        <w:t xml:space="preserve">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А. П. Чехов: творческий путь. </w:t>
      </w:r>
      <w:r w:rsidRPr="00886091">
        <w:rPr>
          <w:rFonts w:ascii="Times New Roman" w:hAnsi="Times New Roman"/>
          <w:kern w:val="32"/>
        </w:rPr>
        <w:t>«Человек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C05" w:rsidRDefault="006E0C05" w:rsidP="00BB52EB">
      <w:r>
        <w:separator/>
      </w:r>
    </w:p>
  </w:endnote>
  <w:endnote w:type="continuationSeparator" w:id="0">
    <w:p w:rsidR="006E0C05" w:rsidRDefault="006E0C0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AE0B74" w:rsidRDefault="00AE0B74">
        <w:pPr>
          <w:pStyle w:val="a8"/>
          <w:jc w:val="center"/>
        </w:pPr>
        <w:r>
          <w:fldChar w:fldCharType="begin"/>
        </w:r>
        <w:r>
          <w:instrText xml:space="preserve"> PAGE   \* MERGEFORMAT </w:instrText>
        </w:r>
        <w:r>
          <w:fldChar w:fldCharType="separate"/>
        </w:r>
        <w:r w:rsidR="00B8256C">
          <w:rPr>
            <w:noProof/>
          </w:rPr>
          <w:t>7</w:t>
        </w:r>
        <w:r>
          <w:rPr>
            <w:noProof/>
          </w:rPr>
          <w:fldChar w:fldCharType="end"/>
        </w:r>
      </w:p>
    </w:sdtContent>
  </w:sdt>
  <w:p w:rsidR="00AE0B74" w:rsidRDefault="00AE0B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C05" w:rsidRDefault="006E0C05" w:rsidP="00BB52EB">
      <w:r>
        <w:separator/>
      </w:r>
    </w:p>
  </w:footnote>
  <w:footnote w:type="continuationSeparator" w:id="0">
    <w:p w:rsidR="006E0C05" w:rsidRDefault="006E0C05"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43612</Words>
  <Characters>248592</Characters>
  <Application>Microsoft Office Word</Application>
  <DocSecurity>0</DocSecurity>
  <Lines>2071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2023-08-13T09:47:00Z</dcterms:created>
  <dcterms:modified xsi:type="dcterms:W3CDTF">2023-08-13T09:47:00Z</dcterms:modified>
</cp:coreProperties>
</file>